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80" w:type="dxa"/>
          <w:bottom w:w="80" w:type="dxa"/>
          <w:left w:w="140" w:type="dxa"/>
          <w:right w:w="140" w:type="dxa"/>
        </w:tblCellMar>
        <w:tblLook w:firstColumn="1" w:firstRow="1" w:lastColumn="0" w:lastRow="0" w:noHBand="0" w:noVBand="1" w:val="04A0"/>
      </w:tblPr>
      <w:tblGrid>
        <w:gridCol w:w="9639"/>
      </w:tblGrid>
      <w:tr>
        <w:tc>
          <w:tcPr>
            <w:tcW w:type="dxa" w:w="9639"/>
            <w:shd w:val="clear" w:color="auto" w:fill="FFF9DB"/>
          </w:tcPr>
          <w:p>
            <w:pPr>
              <w:jc w:val="both"/>
            </w:pPr>
            <w:r>
              <w:rPr>
                <w:b/>
                <w:i w:val="0"/>
                <w:sz w:val="20"/>
              </w:rPr>
              <w:t xml:space="preserve">Как заполнять шаблон. </w:t>
            </w:r>
            <w:r>
              <w:rPr>
                <w:b w:val="0"/>
                <w:i w:val="0"/>
                <w:sz w:val="20"/>
              </w:rPr>
              <w:t xml:space="preserve">Поля на </w:t>
            </w:r>
            <w:r>
              <w:rPr>
                <w:b/>
                <w:sz w:val="20"/>
                <w:highlight w:val="yellow"/>
              </w:rPr>
              <w:t>жёлтом фоне</w:t>
            </w:r>
            <w:r>
              <w:rPr>
                <w:b w:val="0"/>
                <w:i w:val="0"/>
                <w:sz w:val="20"/>
              </w:rPr>
              <w:t xml:space="preserve"> — переменные: замените их своими данными (Ctrl+H — «Найти и заменить»). Текст и расчёты без выделения подготовлены по ценам АКВА ГРУПП — их можно оставить. Если в вашем регионе утверждена своя форма бизнес-плана — перенесите разделы в неё. Если меняете цену, загрузку или аренду — пересчитайте таблицы в калькуляторе на аква-групп.рф/soc-kontrakt. После заполнения уберите жёлтое выделение (Ctrl+A → «Цвет выделения текста» → «Нет цвета») и удалите эту рамку.</w:t>
            </w:r>
          </w:p>
        </w:tc>
      </w:tr>
    </w:tbl>
    <w:p>
      <w:pPr>
        <w:spacing w:after="0" w:line="200" w:lineRule="exact"/>
      </w:pPr>
    </w:p>
    <w:p>
      <w:pPr>
        <w:widowControl/>
        <w:spacing w:after="0"/>
        <w:jc w:val="left"/>
      </w:pPr>
      <w:r>
        <w:rPr>
          <w:b/>
          <w:i w:val="0"/>
          <w:color w:val="1F3864"/>
          <w:sz w:val="30"/>
        </w:rPr>
        <w:t>ООО «АКВА ГРУПП»</w:t>
      </w:r>
    </w:p>
    <w:p>
      <w:pPr>
        <w:widowControl/>
        <w:spacing w:after="280"/>
        <w:jc w:val="left"/>
      </w:pPr>
      <w:r>
        <w:rPr>
          <w:b w:val="0"/>
          <w:i w:val="0"/>
          <w:sz w:val="18"/>
        </w:rPr>
        <w:t>ИНН 7720898528, ОГРН 1237700368729 · г. Москва, ул. 2-я Энтузиастов, д. 5, к. 39 · +7 (969) 966-87-23 · аква-групп.рф</w:t>
      </w:r>
    </w:p>
    <w:p>
      <w:pPr>
        <w:widowControl/>
        <w:spacing w:after="120"/>
        <w:jc w:val="left"/>
      </w:pPr>
      <w:r>
        <w:rPr>
          <w:b w:val="0"/>
          <w:i w:val="0"/>
          <w:sz w:val="20"/>
        </w:rPr>
        <w:t xml:space="preserve">Исх. № </w:t>
      </w:r>
      <w:r>
        <w:rPr>
          <w:b/>
          <w:sz w:val="20"/>
          <w:highlight w:val="yellow"/>
        </w:rPr>
        <w:t>___</w:t>
      </w:r>
      <w:r>
        <w:rPr>
          <w:b w:val="0"/>
          <w:i w:val="0"/>
          <w:sz w:val="20"/>
        </w:rPr>
        <w:t xml:space="preserve"> от </w:t>
      </w:r>
      <w:r>
        <w:rPr>
          <w:b/>
          <w:sz w:val="20"/>
          <w:highlight w:val="yellow"/>
        </w:rPr>
        <w:t>__.__.2026</w:t>
      </w:r>
    </w:p>
    <w:p>
      <w:pPr>
        <w:widowControl/>
        <w:spacing w:after="0"/>
        <w:jc w:val="right"/>
      </w:pPr>
      <w:r>
        <w:rPr>
          <w:b w:val="0"/>
          <w:i w:val="0"/>
        </w:rPr>
        <w:t xml:space="preserve">Кому: </w:t>
      </w:r>
      <w:r>
        <w:rPr>
          <w:b/>
          <w:highlight w:val="yellow"/>
        </w:rPr>
        <w:t>Иванову Ивану Ивановичу</w:t>
      </w:r>
    </w:p>
    <w:p>
      <w:pPr>
        <w:widowControl/>
        <w:spacing w:after="280"/>
        <w:jc w:val="right"/>
      </w:pPr>
      <w:r>
        <w:rPr>
          <w:b w:val="0"/>
          <w:i w:val="0"/>
        </w:rPr>
        <w:t xml:space="preserve">для предоставления в </w:t>
      </w:r>
      <w:r>
        <w:rPr>
          <w:b/>
          <w:highlight w:val="yellow"/>
        </w:rPr>
        <w:t>орган социальной защиты населения</w:t>
      </w:r>
    </w:p>
    <w:p>
      <w:pPr>
        <w:widowControl/>
        <w:spacing w:after="0"/>
        <w:jc w:val="center"/>
      </w:pPr>
      <w:r>
        <w:rPr>
          <w:b/>
          <w:i w:val="0"/>
          <w:sz w:val="32"/>
        </w:rPr>
        <w:t>КОММЕРЧЕСКОЕ ПРЕДЛОЖЕНИЕ</w:t>
      </w:r>
    </w:p>
    <w:p>
      <w:pPr>
        <w:widowControl/>
        <w:spacing w:after="200"/>
        <w:jc w:val="center"/>
      </w:pPr>
      <w:r>
        <w:rPr>
          <w:b w:val="0"/>
          <w:i w:val="0"/>
        </w:rPr>
        <w:t>на поставку терминала «Сухой туман» самообслуживания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ООО «АКВА ГРУПП» — производитель терминалов «Сухой туман» — предлагает поставить оборудование для реализации бизнес-плана в рамках социального контракта. Предложение действительно </w:t>
      </w:r>
      <w:r>
        <w:rPr>
          <w:b/>
          <w:highlight w:val="yellow"/>
        </w:rPr>
        <w:t>30</w:t>
      </w:r>
      <w:r>
        <w:rPr>
          <w:b w:val="0"/>
          <w:i w:val="0"/>
        </w:rPr>
        <w:t xml:space="preserve"> дней.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cantSplit w:val="true"/>
          <w:tblHeader w:val="true"/>
        </w:trPr>
        <w:tc>
          <w:tcPr>
            <w:tcW w:type="dxa" w:w="45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№</w:t>
            </w:r>
          </w:p>
        </w:tc>
        <w:tc>
          <w:tcPr>
            <w:tcW w:type="dxa" w:w="5216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Наименование</w:t>
            </w:r>
          </w:p>
        </w:tc>
        <w:tc>
          <w:tcPr>
            <w:tcW w:type="dxa" w:w="90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Кол-во</w:t>
            </w:r>
          </w:p>
        </w:tc>
        <w:tc>
          <w:tcPr>
            <w:tcW w:type="dxa" w:w="147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Цена</w:t>
            </w:r>
          </w:p>
        </w:tc>
        <w:tc>
          <w:tcPr>
            <w:tcW w:type="dxa" w:w="158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Сумма</w:t>
            </w:r>
          </w:p>
        </w:tc>
      </w:tr>
      <w:tr>
        <w:trPr>
          <w:cantSplit w:val="true"/>
        </w:trPr>
        <w:tc>
          <w:tcPr>
            <w:tcW w:type="dxa" w:w="45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</w:t>
            </w:r>
          </w:p>
        </w:tc>
        <w:tc>
          <w:tcPr>
            <w:tcW w:type="dxa" w:w="5216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Терминал «Сухой туман» самообслуживания «Ваш Стиль» — 5 ароматов (артикул СТ-5А)</w:t>
            </w:r>
          </w:p>
        </w:tc>
        <w:tc>
          <w:tcPr>
            <w:tcW w:type="dxa" w:w="90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240 000 ₽</w:t>
            </w:r>
          </w:p>
        </w:tc>
        <w:tc>
          <w:tcPr>
            <w:tcW w:type="dxa" w:w="158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240 000 ₽</w:t>
            </w:r>
          </w:p>
        </w:tc>
      </w:tr>
      <w:tr>
        <w:trPr>
          <w:cantSplit w:val="true"/>
        </w:trPr>
        <w:tc>
          <w:tcPr>
            <w:tcW w:type="dxa" w:w="45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</w:t>
            </w:r>
          </w:p>
        </w:tc>
        <w:tc>
          <w:tcPr>
            <w:tcW w:type="dxa" w:w="5216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Брендирование корпуса</w:t>
            </w:r>
          </w:p>
        </w:tc>
        <w:tc>
          <w:tcPr>
            <w:tcW w:type="dxa" w:w="90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/>
                <w:sz w:val="20"/>
                <w:highlight w:val="yellow"/>
              </w:rPr>
              <w:t>1</w:t>
            </w:r>
          </w:p>
        </w:tc>
        <w:tc>
          <w:tcPr>
            <w:tcW w:type="dxa" w:w="147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15 000 ₽</w:t>
            </w:r>
          </w:p>
        </w:tc>
        <w:tc>
          <w:tcPr>
            <w:tcW w:type="dxa" w:w="158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/>
                <w:sz w:val="20"/>
                <w:highlight w:val="yellow"/>
              </w:rPr>
              <w:t>15 000 ₽</w:t>
            </w:r>
          </w:p>
        </w:tc>
      </w:tr>
      <w:tr>
        <w:trPr>
          <w:cantSplit w:val="true"/>
        </w:trPr>
        <w:tc>
          <w:tcPr>
            <w:tcW w:type="dxa" w:w="45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3</w:t>
            </w:r>
          </w:p>
        </w:tc>
        <w:tc>
          <w:tcPr>
            <w:tcW w:type="dxa" w:w="5216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LED-подсветка корпуса</w:t>
            </w:r>
          </w:p>
        </w:tc>
        <w:tc>
          <w:tcPr>
            <w:tcW w:type="dxa" w:w="907"/>
          </w:tcPr>
          <w:p>
            <w:pPr>
              <w:spacing w:after="0" w:line="240" w:lineRule="auto"/>
              <w:jc w:val="right"/>
            </w:pPr>
            <w:r>
              <w:rPr>
                <w:b/>
                <w:sz w:val="20"/>
                <w:highlight w:val="yellow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15 000 ₽</w:t>
            </w:r>
          </w:p>
        </w:tc>
        <w:tc>
          <w:tcPr>
            <w:tcW w:type="dxa" w:w="1587"/>
          </w:tcPr>
          <w:p>
            <w:pPr>
              <w:spacing w:after="0" w:line="240" w:lineRule="auto"/>
              <w:jc w:val="right"/>
            </w:pPr>
            <w:r>
              <w:rPr>
                <w:b/>
                <w:sz w:val="20"/>
                <w:highlight w:val="yellow"/>
              </w:rPr>
              <w:t>15 000 ₽</w:t>
            </w:r>
          </w:p>
        </w:tc>
      </w:tr>
      <w:tr>
        <w:trPr>
          <w:cantSplit w:val="true"/>
        </w:trPr>
        <w:tc>
          <w:tcPr>
            <w:tcW w:type="dxa" w:w="45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</w:t>
            </w:r>
          </w:p>
        </w:tc>
        <w:tc>
          <w:tcPr>
            <w:tcW w:type="dxa" w:w="5216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 xml:space="preserve">Ароматическая жидкость для сухого тумана, </w:t>
            </w:r>
            <w:r>
              <w:rPr>
                <w:b/>
                <w:sz w:val="20"/>
                <w:highlight w:val="yellow"/>
              </w:rPr>
              <w:t>аромат</w:t>
            </w:r>
            <w:r>
              <w:rPr>
                <w:b w:val="0"/>
                <w:i w:val="0"/>
                <w:sz w:val="20"/>
              </w:rPr>
              <w:t xml:space="preserve">, </w:t>
            </w:r>
            <w:r>
              <w:rPr>
                <w:b/>
                <w:sz w:val="20"/>
                <w:highlight w:val="yellow"/>
              </w:rPr>
              <w:t>объём</w:t>
            </w:r>
          </w:p>
        </w:tc>
        <w:tc>
          <w:tcPr>
            <w:tcW w:type="dxa" w:w="90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/>
                <w:sz w:val="20"/>
                <w:highlight w:val="yellow"/>
              </w:rPr>
              <w:t>_</w:t>
            </w:r>
          </w:p>
        </w:tc>
        <w:tc>
          <w:tcPr>
            <w:tcW w:type="dxa" w:w="147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/>
                <w:sz w:val="20"/>
                <w:highlight w:val="yellow"/>
              </w:rPr>
              <w:t>____ ₽</w:t>
            </w:r>
          </w:p>
        </w:tc>
        <w:tc>
          <w:tcPr>
            <w:tcW w:type="dxa" w:w="158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/>
                <w:sz w:val="20"/>
                <w:highlight w:val="yellow"/>
              </w:rPr>
              <w:t>____ ₽</w:t>
            </w:r>
          </w:p>
        </w:tc>
      </w:tr>
      <w:tr>
        <w:trPr>
          <w:cantSplit w:val="true"/>
        </w:trPr>
        <w:tc>
          <w:tcPr>
            <w:tcW w:type="dxa" w:w="454"/>
            <w:shd w:val="clear" w:color="auto" w:fill="DCE4F0"/>
          </w:tcPr>
          <w:p>
            <w:pPr>
              <w:spacing w:after="0" w:line="240" w:lineRule="auto"/>
            </w:pPr>
          </w:p>
        </w:tc>
        <w:tc>
          <w:tcPr>
            <w:tcW w:type="dxa" w:w="5216"/>
            <w:shd w:val="clear" w:color="auto" w:fill="DCE4F0"/>
          </w:tcPr>
          <w:p>
            <w:pPr>
              <w:spacing w:after="0" w:line="240" w:lineRule="auto"/>
            </w:pPr>
            <w:r>
              <w:rPr>
                <w:b/>
                <w:i w:val="0"/>
                <w:sz w:val="20"/>
              </w:rPr>
              <w:t>ИТОГО</w:t>
            </w:r>
          </w:p>
        </w:tc>
        <w:tc>
          <w:tcPr>
            <w:tcW w:type="dxa" w:w="907"/>
            <w:shd w:val="clear" w:color="auto" w:fill="DCE4F0"/>
          </w:tcPr>
          <w:p>
            <w:pPr>
              <w:spacing w:after="0" w:line="240" w:lineRule="auto"/>
              <w:jc w:val="right"/>
            </w:pPr>
          </w:p>
        </w:tc>
        <w:tc>
          <w:tcPr>
            <w:tcW w:type="dxa" w:w="1474"/>
            <w:shd w:val="clear" w:color="auto" w:fill="DCE4F0"/>
          </w:tcPr>
          <w:p>
            <w:pPr>
              <w:spacing w:after="0" w:line="240" w:lineRule="auto"/>
              <w:jc w:val="right"/>
            </w:pPr>
          </w:p>
        </w:tc>
        <w:tc>
          <w:tcPr>
            <w:tcW w:type="dxa" w:w="1587"/>
            <w:shd w:val="clear" w:color="auto" w:fill="DCE4F0"/>
          </w:tcPr>
          <w:p>
            <w:pPr>
              <w:spacing w:after="0" w:line="240" w:lineRule="auto"/>
              <w:jc w:val="right"/>
            </w:pPr>
            <w:r>
              <w:rPr>
                <w:b/>
                <w:sz w:val="20"/>
                <w:highlight w:val="yellow"/>
              </w:rPr>
              <w:t>285 000 ₽</w:t>
            </w:r>
          </w:p>
        </w:tc>
      </w:tr>
    </w:tbl>
    <w:p>
      <w:pPr>
        <w:spacing w:after="0" w:line="200" w:lineRule="exact"/>
      </w:pPr>
    </w:p>
    <w:p>
      <w:pPr>
        <w:keepNext/>
        <w:widowControl/>
        <w:spacing w:after="120"/>
        <w:jc w:val="both"/>
      </w:pPr>
      <w:r>
        <w:rPr>
          <w:b/>
          <w:i w:val="0"/>
        </w:rPr>
        <w:t>Комплектация терминала: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аппарат в индивидуальном корпусе, система подачи 5 ароматов, функция промывки;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купюроприёмник и монетоприёмник; стоимость услуги задаёт владелец;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шланг 7,5 м, насадка с креплением в стекло автомобиля, поворотная консоль;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канистры ароматической жидкости по числу ароматов, жидкость для промывки;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питание 220 В; автоматическая самоочистка после каждого цикла.</w:t>
      </w:r>
    </w:p>
    <w:p>
      <w:pPr>
        <w:keepNext/>
        <w:widowControl/>
        <w:spacing w:after="120"/>
        <w:jc w:val="both"/>
      </w:pPr>
      <w:r>
        <w:rPr>
          <w:b/>
          <w:i w:val="0"/>
        </w:rPr>
        <w:t>Условия: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сертификаты соответствия РОСС RU.32875.04НВА0.00501 / 00502;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гарантия 12 месяцев;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система автоматической самоочистки фогера после каждого цикла — собственная разработка АКВА ГРУПП, ручная промывка не нужна;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удалённая помощь в запуске и настройке;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 xml:space="preserve">изготовление </w:t>
      </w:r>
      <w:r>
        <w:rPr>
          <w:b/>
          <w:highlight w:val="yellow"/>
        </w:rPr>
        <w:t>7–14</w:t>
      </w:r>
      <w:r>
        <w:rPr>
          <w:b w:val="0"/>
          <w:i w:val="0"/>
        </w:rPr>
        <w:t xml:space="preserve"> рабочих дней; доставка по России </w:t>
      </w:r>
      <w:r>
        <w:rPr>
          <w:b/>
          <w:highlight w:val="yellow"/>
        </w:rPr>
        <w:t>1–7</w:t>
      </w:r>
      <w:r>
        <w:rPr>
          <w:b w:val="0"/>
          <w:i w:val="0"/>
        </w:rPr>
        <w:t xml:space="preserve"> дней, по Москве в пределах МКАД — бесплатно;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оплата безналичным переводом по счёту; выдаём договор, счёт и УПД — полный пакет для отчёта в соцзащиту.</w:t>
      </w:r>
    </w:p>
    <w:p>
      <w:pPr>
        <w:widowControl/>
        <w:spacing w:after="280"/>
        <w:ind w:firstLine="709"/>
        <w:jc w:val="both"/>
      </w:pPr>
    </w:p>
    <w:p>
      <w:pPr>
        <w:widowControl/>
        <w:spacing w:after="120"/>
        <w:jc w:val="left"/>
      </w:pPr>
      <w:r>
        <w:rPr>
          <w:b w:val="0"/>
          <w:i w:val="0"/>
        </w:rPr>
        <w:t xml:space="preserve">Генеральный директор ____________________ / </w:t>
      </w:r>
      <w:r>
        <w:rPr>
          <w:b/>
          <w:highlight w:val="yellow"/>
        </w:rPr>
        <w:t>ФИО</w:t>
      </w:r>
      <w:r>
        <w:rPr>
          <w:b w:val="0"/>
          <w:i w:val="0"/>
        </w:rPr>
        <w:t xml:space="preserve"> /          М. П.</w:t>
      </w:r>
    </w:p>
    <w:sectPr w:rsidR="00FC693F" w:rsidRPr="0006063C" w:rsidSect="00034616">
      <w:footerReference w:type="default" r:id="rId9"/>
      <w:footerReference w:type="first" r:id="rId10"/>
      <w:pgSz w:w="11906" w:h="16838"/>
      <w:pgMar w:top="1134" w:right="850" w:bottom="1134" w:left="141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8"/>
      </w:rPr>
      <w:t xml:space="preserve">Страница </w:t>
    </w:r>
    <w:r>
      <w:rPr>
        <w:rFonts w:ascii="Times New Roman" w:hAnsi="Times New Roman"/>
        <w:sz w:val="18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Times New Roman" w:hAnsi="Times New Roman"/>
        <w:sz w:val="18"/>
      </w:rPr>
      <w:t xml:space="preserve"> из </w:t>
    </w:r>
    <w:r>
      <w:rPr>
        <w:rFonts w:ascii="Times New Roman" w:hAnsi="Times New Roman"/>
        <w:sz w:val="18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i w:val="0"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eastAsia="Times New Roman" w:cs="Times New Roman"/>
      <w:i w:val="0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