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80" w:type="dxa"/>
          <w:bottom w:w="80" w:type="dxa"/>
          <w:left w:w="140" w:type="dxa"/>
          <w:right w:w="140" w:type="dxa"/>
        </w:tblCellMar>
        <w:tblLook w:firstColumn="1" w:firstRow="1" w:lastColumn="0" w:lastRow="0" w:noHBand="0" w:noVBand="1" w:val="04A0"/>
      </w:tblPr>
      <w:tblGrid>
        <w:gridCol w:w="9639"/>
      </w:tblGrid>
      <w:tr>
        <w:tc>
          <w:tcPr>
            <w:tcW w:type="dxa" w:w="9639"/>
            <w:shd w:val="clear" w:color="auto" w:fill="FFF9DB"/>
          </w:tcPr>
          <w:p>
            <w:pPr>
              <w:jc w:val="both"/>
            </w:pPr>
            <w:r>
              <w:rPr>
                <w:b/>
                <w:i w:val="0"/>
                <w:sz w:val="20"/>
              </w:rPr>
              <w:t xml:space="preserve">Как заполнять шаблон. </w:t>
            </w:r>
            <w:r>
              <w:rPr>
                <w:b w:val="0"/>
                <w:i w:val="0"/>
                <w:sz w:val="20"/>
              </w:rPr>
              <w:t xml:space="preserve">Поля на </w:t>
            </w:r>
            <w:r>
              <w:rPr>
                <w:b/>
                <w:sz w:val="20"/>
                <w:highlight w:val="yellow"/>
              </w:rPr>
              <w:t>жёлтом фоне</w:t>
            </w:r>
            <w:r>
              <w:rPr>
                <w:b w:val="0"/>
                <w:i w:val="0"/>
                <w:sz w:val="20"/>
              </w:rPr>
              <w:t xml:space="preserve"> — переменные: замените их своими данными (Ctrl+H — «Найти и заменить»). Текст и расчёты без выделения подготовлены по ценам АКВА ГРУПП — их можно оставить. Если в вашем регионе утверждена своя форма бизнес-плана — перенесите разделы в неё. Если меняете цену, загрузку или аренду — пересчитайте таблицы в калькуляторе на аква-групп.рф/soc-kontrakt. После заполнения уберите жёлтое выделение (Ctrl+A → «Цвет выделения текста» → «Нет цвета») и удалите эту рамку.</w:t>
            </w:r>
          </w:p>
        </w:tc>
      </w:tr>
    </w:tbl>
    <w:p>
      <w:pPr>
        <w:spacing w:after="0" w:line="200" w:lineRule="exact"/>
      </w:pP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Приложение к заявлению о назначении государственной</w:t>
      </w: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социальной помощи на основании социального контракта</w:t>
      </w:r>
    </w:p>
    <w:p>
      <w:pPr>
        <w:widowControl/>
        <w:spacing w:after="0"/>
        <w:jc w:val="right"/>
      </w:pPr>
      <w:r>
        <w:rPr>
          <w:b w:val="0"/>
          <w:i w:val="0"/>
          <w:sz w:val="22"/>
        </w:rPr>
        <w:t>(ст. 8.1 Федерального закона от 17.07.1999 № 178-ФЗ)</w:t>
      </w:r>
    </w:p>
    <w:p>
      <w:pPr>
        <w:widowControl/>
        <w:spacing w:after="0"/>
        <w:ind w:firstLine="709"/>
        <w:jc w:val="both"/>
      </w:pPr>
    </w:p>
    <w:p>
      <w:pPr>
        <w:widowControl/>
        <w:spacing w:after="0"/>
        <w:ind w:firstLine="709"/>
        <w:jc w:val="both"/>
      </w:pPr>
    </w:p>
    <w:p>
      <w:pPr>
        <w:widowControl/>
        <w:spacing w:after="0"/>
        <w:ind w:firstLine="709"/>
        <w:jc w:val="both"/>
      </w:pPr>
    </w:p>
    <w:p>
      <w:pPr>
        <w:widowControl/>
        <w:spacing w:after="240"/>
        <w:jc w:val="center"/>
      </w:pPr>
      <w:r>
        <w:rPr>
          <w:b/>
          <w:i w:val="0"/>
          <w:sz w:val="40"/>
        </w:rPr>
        <w:t>БИЗНЕС-ПЛАН</w:t>
      </w:r>
    </w:p>
    <w:p>
      <w:pPr>
        <w:widowControl/>
        <w:spacing w:after="80"/>
        <w:jc w:val="center"/>
      </w:pPr>
      <w:r>
        <w:rPr>
          <w:b/>
          <w:i w:val="0"/>
          <w:sz w:val="28"/>
        </w:rPr>
        <w:t>«Сухой туман» самообслуживания</w:t>
      </w:r>
    </w:p>
    <w:p>
      <w:pPr>
        <w:widowControl/>
        <w:spacing w:after="720"/>
        <w:jc w:val="center"/>
      </w:pPr>
      <w:r>
        <w:rPr>
          <w:b w:val="0"/>
          <w:i w:val="0"/>
          <w:sz w:val="24"/>
        </w:rPr>
        <w:t>услуга устранения запахов и ароматизации салона автомобиля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Сведения о проекте</w:t>
            </w:r>
          </w:p>
        </w:tc>
        <w:tc>
          <w:tcPr>
            <w:tcW w:type="dxa" w:w="6520"/>
            <w:shd w:val="clear" w:color="auto" w:fill="1F3864"/>
          </w:tcPr>
          <w:p>
            <w:pPr>
              <w:spacing w:after="0"/>
              <w:jc w:val="center"/>
            </w:pP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Заявитель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Иванов Иван Иванович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Дата рождения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01.01.1985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Адрес регистрации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индекс, регион, город, улица, дом, кв.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Телефон, e-mail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+7 (___) ___-__-__</w:t>
            </w:r>
            <w:r>
              <w:rPr>
                <w:b w:val="0"/>
                <w:i w:val="0"/>
                <w:sz w:val="20"/>
              </w:rPr>
              <w:t xml:space="preserve">, </w:t>
            </w:r>
            <w:r>
              <w:rPr>
                <w:b/>
                <w:sz w:val="20"/>
                <w:highlight w:val="yellow"/>
              </w:rPr>
              <w:t>mail@example.ru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ИНН, СНИЛС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000000000000</w:t>
            </w:r>
            <w:r>
              <w:rPr>
                <w:b w:val="0"/>
                <w:i w:val="0"/>
                <w:sz w:val="20"/>
              </w:rPr>
              <w:t xml:space="preserve">, </w:t>
            </w:r>
            <w:r>
              <w:rPr>
                <w:b/>
                <w:sz w:val="20"/>
                <w:highlight w:val="yellow"/>
              </w:rPr>
              <w:t>000-000-000 00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Форма деятельности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самозанятый — плательщик налога на профессиональный доход (Федеральный закон № 422-ФЗ)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Вид деятельности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услуги по устранению запахов и ароматизации салонов автомобилей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Место реализации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населённый пункт, адрес площадки размещения</w:t>
            </w:r>
          </w:p>
        </w:tc>
      </w:tr>
      <w:tr>
        <w:trPr>
          <w:cantSplit w:val="true"/>
        </w:trPr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Источник финансирования</w:t>
            </w:r>
          </w:p>
        </w:tc>
        <w:tc>
          <w:tcPr>
            <w:tcW w:type="dxa" w:w="652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 xml:space="preserve">350 000 ₽ — средства социального контракта; собственные средства </w:t>
            </w:r>
            <w:r>
              <w:rPr>
                <w:b/>
                <w:sz w:val="20"/>
                <w:highlight w:val="yellow"/>
              </w:rPr>
              <w:t>0 ₽</w:t>
            </w:r>
          </w:p>
        </w:tc>
      </w:tr>
      <w:tr>
        <w:trPr>
          <w:cantSplit w:val="true"/>
        </w:trPr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Срок реализации</w:t>
            </w:r>
          </w:p>
        </w:tc>
        <w:tc>
          <w:tcPr>
            <w:tcW w:type="dxa" w:w="652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 месяцев (срок действия социального контракта)</w:t>
            </w:r>
          </w:p>
        </w:tc>
      </w:tr>
    </w:tbl>
    <w:p>
      <w:pPr>
        <w:spacing w:after="0" w:line="200" w:lineRule="exact"/>
      </w:pPr>
    </w:p>
    <w:p>
      <w:pPr>
        <w:widowControl/>
        <w:spacing w:after="800"/>
        <w:jc w:val="left"/>
      </w:pPr>
      <w:r>
        <w:rPr>
          <w:b w:val="0"/>
          <w:i w:val="0"/>
          <w:sz w:val="22"/>
        </w:rPr>
        <w:t>Направление помощи: осуществление индивидуальной предпринимательской деятельности.</w:t>
      </w:r>
    </w:p>
    <w:p>
      <w:pPr>
        <w:widowControl/>
        <w:spacing w:after="120"/>
        <w:jc w:val="center"/>
      </w:pPr>
      <w:r>
        <w:rPr>
          <w:b/>
          <w:highlight w:val="yellow"/>
        </w:rPr>
        <w:t>Город</w:t>
      </w:r>
      <w:r>
        <w:rPr>
          <w:b w:val="0"/>
          <w:i w:val="0"/>
        </w:rPr>
        <w:t xml:space="preserve">, </w:t>
      </w:r>
      <w:r>
        <w:rPr>
          <w:b/>
          <w:highlight w:val="yellow"/>
        </w:rPr>
        <w:t>2026</w:t>
      </w:r>
      <w:r>
        <w:rPr>
          <w:b w:val="0"/>
          <w:i w:val="0"/>
        </w:rPr>
        <w:t xml:space="preserve"> г.</w:t>
      </w:r>
    </w:p>
    <w:p>
      <w:r>
        <w:br w:type="page"/>
      </w:r>
    </w:p>
    <w:p>
      <w:pPr>
        <w:keepNext/>
        <w:widowControl/>
        <w:spacing w:after="280"/>
        <w:jc w:val="center"/>
      </w:pPr>
      <w:r>
        <w:rPr>
          <w:b/>
          <w:i w:val="0"/>
          <w:sz w:val="28"/>
        </w:rPr>
        <w:t>СОДЕРЖАНИЕ</w:t>
      </w:r>
    </w:p>
    <w:p>
      <w:pPr>
        <w:widowControl/>
        <w:spacing w:after="80"/>
        <w:jc w:val="left"/>
      </w:pPr>
      <w:r>
        <w:rPr>
          <w:b w:val="0"/>
          <w:i w:val="0"/>
        </w:rPr>
        <w:t>1. Резюме проекта</w:t>
      </w:r>
    </w:p>
    <w:p>
      <w:pPr>
        <w:widowControl/>
        <w:spacing w:after="80"/>
        <w:jc w:val="left"/>
      </w:pPr>
      <w:r>
        <w:rPr>
          <w:b w:val="0"/>
          <w:i w:val="0"/>
        </w:rPr>
        <w:t>2. Сведения о заявителе и семье</w:t>
      </w:r>
    </w:p>
    <w:p>
      <w:pPr>
        <w:widowControl/>
        <w:spacing w:after="80"/>
        <w:jc w:val="left"/>
      </w:pPr>
      <w:r>
        <w:rPr>
          <w:b w:val="0"/>
          <w:i w:val="0"/>
        </w:rPr>
        <w:t>3. Описание услуги и проекта</w:t>
      </w:r>
    </w:p>
    <w:p>
      <w:pPr>
        <w:widowControl/>
        <w:spacing w:after="80"/>
        <w:jc w:val="left"/>
      </w:pPr>
      <w:r>
        <w:rPr>
          <w:b w:val="0"/>
          <w:i w:val="0"/>
        </w:rPr>
        <w:t>4. Оборудование и обоснование выбора поставщика</w:t>
      </w:r>
    </w:p>
    <w:p>
      <w:pPr>
        <w:widowControl/>
        <w:spacing w:after="80"/>
        <w:jc w:val="left"/>
      </w:pPr>
      <w:r>
        <w:rPr>
          <w:b w:val="0"/>
          <w:i w:val="0"/>
        </w:rPr>
        <w:t>5. Анализ рынка и конкурентов</w:t>
      </w:r>
    </w:p>
    <w:p>
      <w:pPr>
        <w:widowControl/>
        <w:spacing w:after="80"/>
        <w:jc w:val="left"/>
      </w:pPr>
      <w:r>
        <w:rPr>
          <w:b w:val="0"/>
          <w:i w:val="0"/>
        </w:rPr>
        <w:t>6. Сезонность спроса</w:t>
      </w:r>
    </w:p>
    <w:p>
      <w:pPr>
        <w:widowControl/>
        <w:spacing w:after="80"/>
        <w:jc w:val="left"/>
      </w:pPr>
      <w:r>
        <w:rPr>
          <w:b w:val="0"/>
          <w:i w:val="0"/>
        </w:rPr>
        <w:t>7. Место размещения</w:t>
      </w:r>
    </w:p>
    <w:p>
      <w:pPr>
        <w:widowControl/>
        <w:spacing w:after="80"/>
        <w:jc w:val="left"/>
      </w:pPr>
      <w:r>
        <w:rPr>
          <w:b w:val="0"/>
          <w:i w:val="0"/>
        </w:rPr>
        <w:t>8. Маркетинг и ценовая политика</w:t>
      </w:r>
    </w:p>
    <w:p>
      <w:pPr>
        <w:widowControl/>
        <w:spacing w:after="80"/>
        <w:jc w:val="left"/>
      </w:pPr>
      <w:r>
        <w:rPr>
          <w:b w:val="0"/>
          <w:i w:val="0"/>
        </w:rPr>
        <w:t>9. Производственный (операционный)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10. Организационно-правовой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11. Календарный план реализации</w:t>
      </w:r>
    </w:p>
    <w:p>
      <w:pPr>
        <w:widowControl/>
        <w:spacing w:after="80"/>
        <w:jc w:val="left"/>
      </w:pPr>
      <w:r>
        <w:rPr>
          <w:b w:val="0"/>
          <w:i w:val="0"/>
        </w:rPr>
        <w:t>12. Смета расходов за счёт средств социального контракта</w:t>
      </w:r>
    </w:p>
    <w:p>
      <w:pPr>
        <w:widowControl/>
        <w:spacing w:after="80"/>
        <w:jc w:val="left"/>
      </w:pPr>
      <w:r>
        <w:rPr>
          <w:b w:val="0"/>
          <w:i w:val="0"/>
        </w:rPr>
        <w:t>13. Финансовый план</w:t>
      </w:r>
    </w:p>
    <w:p>
      <w:pPr>
        <w:widowControl/>
        <w:spacing w:after="80"/>
        <w:jc w:val="left"/>
      </w:pPr>
      <w:r>
        <w:rPr>
          <w:b w:val="0"/>
          <w:i w:val="0"/>
        </w:rPr>
        <w:t>14. Риски и меры по их снижению</w:t>
      </w:r>
    </w:p>
    <w:p>
      <w:pPr>
        <w:widowControl/>
        <w:spacing w:after="80"/>
        <w:jc w:val="left"/>
      </w:pPr>
      <w:r>
        <w:rPr>
          <w:b w:val="0"/>
          <w:i w:val="0"/>
        </w:rPr>
        <w:t>15. Социальная эффективность</w:t>
      </w:r>
    </w:p>
    <w:p>
      <w:pPr>
        <w:widowControl/>
        <w:spacing w:after="80"/>
        <w:jc w:val="left"/>
      </w:pPr>
      <w:r>
        <w:rPr>
          <w:b w:val="0"/>
          <w:i w:val="0"/>
        </w:rPr>
        <w:t>16. Масштабирование: от одного терминала к своей сети</w:t>
      </w:r>
    </w:p>
    <w:p>
      <w:pPr>
        <w:widowControl/>
        <w:spacing w:after="80"/>
        <w:jc w:val="left"/>
      </w:pPr>
      <w:r>
        <w:rPr>
          <w:b w:val="0"/>
          <w:i w:val="0"/>
        </w:rPr>
        <w:t>Приложения</w:t>
      </w:r>
    </w:p>
    <w:p>
      <w:r>
        <w:br w:type="page"/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1. Резюме проекта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Цель проекта — организовать собственное дело, обеспечить семью постоянным доходом выше прожиточного минимума и выйти из трудной жизненной ситуации. Для этого приобретается терминал «Сухой туман» самообслуживания производства ООО «АКВА ГРУПП» и размещается на площадке с потоком автомобилей — </w:t>
      </w:r>
      <w:r>
        <w:rPr>
          <w:b/>
          <w:highlight w:val="yellow"/>
        </w:rPr>
        <w:t>автомойка / АЗС / паркинг ТЦ / иная площадка</w:t>
      </w:r>
      <w:r>
        <w:rPr>
          <w:b w:val="0"/>
          <w:i w:val="0"/>
        </w:rPr>
        <w:t xml:space="preserve"> по адресу </w:t>
      </w:r>
      <w:r>
        <w:rPr>
          <w:b/>
          <w:highlight w:val="yellow"/>
        </w:rPr>
        <w:t>адрес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Терминал работает круглосуточно и без персонала: клиент сам оплачивает услугу, выбирает один из пяти ароматов и за 3–5 минут устраняет неприятный запах в салоне. Заявитель обслуживает терминал: заправляет жидкости, забирает выручку, следит за исправностью и продвигает точку. Это позволяет совмещать бизнес с </w:t>
      </w:r>
      <w:r>
        <w:rPr>
          <w:b/>
          <w:highlight w:val="yellow"/>
        </w:rPr>
        <w:t>уходом за детьми / другими обязанностями</w:t>
      </w:r>
      <w:r>
        <w:rPr>
          <w:b w:val="0"/>
          <w:i w:val="0"/>
        </w:rPr>
        <w:t>. Терминал всесезонный — работает круглый год, и зимой, и летом, а пики спроса приходятся на праздничные и выходные дни.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Стратегия проекта — быстро окупить вложения и вырасти в собственную сеть. Бизнес легко масштабируется: после окупаемости 40 % ежемесячной прибыли откладывается на покупку следующего терминала, который размещается на новой площадке — другой мойке, АЗС, паркинге. Каждая новая точка увеличивает оборот, не требуя персонала, а опыт первой точки позволяет запускать следующие быстрее (раздел 16).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56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Ключевые показатели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Сумма социального контракта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350 000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 услуги для клиента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400–500 ₽ (регулируется владельцем)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Себестоимость 1 цикла (жидкость)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Выручка за 12 месяцев (базовый сценарий)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1 827 700 ₽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Чистая прибыль за 12 месяцев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1 500 872 ₽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Среднемесячный чистый доход в 1-й год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125 073 ₽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Чистый доход после выхода на плановую загрузку (4–12 мес.)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134 714 ₽ в месяц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Точка безубыточности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 услуг в месяц (≈ 0,8 в день)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Срок окупаемости вложений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 мес.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Второй терминал за счёт прибыли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 9-м месяце работы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Применимость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легковые, коммерческие и грузовые автомобили, автобусы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Режим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24/7, круглый год — зимой и летом</w:t>
            </w:r>
          </w:p>
        </w:tc>
      </w:tr>
      <w:tr>
        <w:trPr>
          <w:cantSplit w:val="true"/>
        </w:trPr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Налоговый режим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НПД 4 % с доходов от физических лиц</w:t>
            </w:r>
          </w:p>
        </w:tc>
      </w:tr>
      <w:tr>
        <w:trPr>
          <w:cantSplit w:val="true"/>
        </w:trPr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Рабочие места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— самозанятость заявителя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2. Сведения о заявителе и семье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 w:val="true"/>
          <w:tblHeader w:val="true"/>
        </w:trPr>
        <w:tc>
          <w:tcPr>
            <w:tcW w:type="dxa" w:w="56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ФИО члена семьи</w:t>
            </w:r>
          </w:p>
        </w:tc>
        <w:tc>
          <w:tcPr>
            <w:tcW w:type="dxa" w:w="170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Степень родства</w:t>
            </w:r>
          </w:p>
        </w:tc>
        <w:tc>
          <w:tcPr>
            <w:tcW w:type="dxa" w:w="113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Возраст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Занятость, доход в месяц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Иванов Иван Иванович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заявитель</w:t>
            </w:r>
          </w:p>
        </w:tc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не работает / ___ ₽</w:t>
            </w:r>
          </w:p>
        </w:tc>
      </w:tr>
      <w:tr>
        <w:trPr>
          <w:cantSplit w:val="true"/>
        </w:trPr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  <w:tc>
          <w:tcPr>
            <w:tcW w:type="dxa" w:w="1701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супруг(а)</w:t>
            </w:r>
          </w:p>
        </w:tc>
        <w:tc>
          <w:tcPr>
            <w:tcW w:type="dxa" w:w="113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</w:tr>
      <w:tr>
        <w:trPr>
          <w:cantSplit w:val="true"/>
        </w:trPr>
        <w:tc>
          <w:tcPr>
            <w:tcW w:type="dxa" w:w="56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____</w:t>
            </w:r>
          </w:p>
        </w:tc>
        <w:tc>
          <w:tcPr>
            <w:tcW w:type="dxa" w:w="1701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сын / дочь</w:t>
            </w:r>
          </w:p>
        </w:tc>
        <w:tc>
          <w:tcPr>
            <w:tcW w:type="dxa" w:w="113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__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учащийся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Среднедушевой доход семьи за 3 последних месяца — </w:t>
      </w:r>
      <w:r>
        <w:rPr>
          <w:b/>
          <w:highlight w:val="yellow"/>
        </w:rPr>
        <w:t>____ ₽</w:t>
      </w:r>
      <w:r>
        <w:rPr>
          <w:b w:val="0"/>
          <w:i w:val="0"/>
        </w:rPr>
        <w:t xml:space="preserve">, прожиточный минимум на душу населения в </w:t>
      </w:r>
      <w:r>
        <w:rPr>
          <w:b/>
          <w:highlight w:val="yellow"/>
        </w:rPr>
        <w:t>регион</w:t>
      </w:r>
      <w:r>
        <w:rPr>
          <w:b w:val="0"/>
          <w:i w:val="0"/>
        </w:rPr>
        <w:t xml:space="preserve"> — </w:t>
      </w:r>
      <w:r>
        <w:rPr>
          <w:b/>
          <w:highlight w:val="yellow"/>
        </w:rPr>
        <w:t>____ ₽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Образование: </w:t>
      </w:r>
      <w:r>
        <w:rPr>
          <w:b/>
          <w:highlight w:val="yellow"/>
        </w:rPr>
        <w:t>уровень, учебное заведение, специальность, год окончания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Опыт работы: </w:t>
      </w:r>
      <w:r>
        <w:rPr>
          <w:b/>
          <w:highlight w:val="yellow"/>
        </w:rPr>
        <w:t>места работы и должности за последние годы; отметить опыт, связанный с автомобилями, обслуживанием клиентов, торговлей, техникой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Навыки для проекта: </w:t>
      </w:r>
      <w:r>
        <w:rPr>
          <w:b/>
          <w:highlight w:val="yellow"/>
        </w:rPr>
        <w:t>водительское удостоверение кат. B и личный автомобиль / возможность добираться до точки; базовые технические навыки; уверенное пользование смартфоном и интернет-банком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Почему выбрано это направление: </w:t>
      </w:r>
      <w:r>
        <w:rPr>
          <w:b/>
          <w:highlight w:val="yellow"/>
        </w:rPr>
        <w:t>небольшие вложения, понятное оборудование без сложного обучения, не нужен персонал, гибкий график; спрос на услугу виден по местным автомойкам</w:t>
      </w:r>
      <w:r>
        <w:rPr>
          <w:b w:val="0"/>
          <w:i w:val="0"/>
        </w:rPr>
        <w:t xml:space="preserve">. Перед подачей заявления заявитель </w:t>
      </w:r>
      <w:r>
        <w:rPr>
          <w:b/>
          <w:highlight w:val="yellow"/>
        </w:rPr>
        <w:t>прошёл тестирование на МСП.РФ / обучение в центре «Мой бизнес»</w:t>
      </w:r>
      <w:r>
        <w:rPr>
          <w:b w:val="0"/>
          <w:i w:val="0"/>
        </w:rPr>
        <w:t>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3. Описание услуги и проекта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«Сухой туман» — обработка салона мелкодисперсным ароматическим составом (частицы 5–10 мкм). Туман проникает в обивку, потолок, ковровое покрытие и систему вентиляции, связывает молекулы неприятного запаха (табак, еда, сырость, животные, «кондиционер») и не оставляет влаги и разводов. Аромат держится 3–7 дней. Состав сертифицирован и безопасен для людей и животных.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 отличие от ароматизаторов-«ёлочек» сухой туман устраняет источник запаха, а в отличие от озонирования у детейлера — стоит в 4–6 раз дешевле, не требует записи и доступен круглосуточно.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Как клиент получает услугу: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вносит оплату в купюро-/монетоприёмник терминала;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выбирает один из 5 ароматов;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вставляет насадку в приоткрытое окно, включает рециркуляцию и кондиционер, закрывает двери;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терминал подаёт туман 2–3 минуты, затем — 5 минут выдержки;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клиент проветривает салон 1–2 минуты и возвращает насадку; терминал сам промывает форсунку.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Целевая аудитория: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владельцы личных автомобилей после мойки (основной поток);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такси, каршеринга и доставки — нужен свежий салон для пассажиров;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продавцы б/у автомобилей — предпродажная подготовка;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владельцы домашних животных, курящие водители, семьи с детьми;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после поездок, дачи, рыбалки;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водители грузовых и коммерческих автомобилей, автобусов — кабина и салон тоже нуждаются в обработке.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Для каких транспортных средств подходит услуга: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Тип транспорта</w:t>
            </w:r>
          </w:p>
        </w:tc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Сколько циклов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Комментарий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Легковые автомобили, кроссоверы, внедорожники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основной поток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Такси, каршеринг, прокат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цикл, регулярно 2–4 раза в месяц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постоянные клиенты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Минивэны и микроавтобусы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1–2 цикла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семьи, трансфер, вахтовые перевозки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Коммерческий транспорт: «Газели», фургоны, доставка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 (кабина)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курьеры, грузоперевозчики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Кабины грузовиков и тягачей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цикл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дальнобойщики живут в кабине неделями</w:t>
            </w:r>
          </w:p>
        </w:tc>
      </w:tr>
      <w:tr>
        <w:trPr>
          <w:cantSplit w:val="true"/>
        </w:trPr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Автобусы и маршрутки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2–3 цикла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перевозчики, корпоративный транспорт</w:t>
            </w:r>
          </w:p>
        </w:tc>
      </w:tr>
      <w:tr>
        <w:trPr>
          <w:cantSplit w:val="true"/>
        </w:trPr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Спецтехника, автодома, кемперы</w:t>
            </w: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1–2 цикла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дополнительный сегмент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Универсальность — важное преимущество: терминал зарабатывает не только на легковых машинах. Размещение у АЗС на трассе, грузовых стоянок и автобусных парков даёт дополнительный поток клиентов с большими салонами, которые оплачивают 2–3 цикла.</w:t>
      </w:r>
    </w:p>
    <w:p>
      <w:pPr>
        <w:pStyle w:val="Heading2"/>
        <w:keepNext/>
        <w:spacing w:before="200" w:after="120"/>
      </w:pPr>
      <w:r>
        <w:rPr>
          <w:b w:val="0"/>
          <w:i w:val="0"/>
          <w:color w:val="1F3864"/>
        </w:rPr>
        <w:t>3.1. Портрет клиента: водитель такси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Водитель такси — ключевой клиент проекта: он пользуется услугой регулярно, а от запаха в салоне напрямую зависит его заработок.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Параметр</w:t>
            </w:r>
          </w:p>
        </w:tc>
        <w:tc>
          <w:tcPr>
            <w:tcW w:type="dxa" w:w="708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Описание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Кто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мужчина 25–55 лет, работает в агрегаторе (Яндекс Go, Ситимобил, Максим) или таксопарке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Автомобиль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седан эконом / комфорт-класса, собственный или арендованный у таксопарка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График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10–12 часов в день, 5–6 дней в неделю; 20–40 пассажиров за смену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Проблема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запахи от пассажиров (табак, еда, парфюм, алкоголь), сырость зимой и в дождь, запах кондиционера летом; жалобы снижают рейтинг и доход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Что важно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быстро (без записи и ожидания), недорого, рядом с маршрутом, круглосуточно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Почему выбирает нас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 минут вместо записи в детейлинг; 400–500 ₽ вместо 1 500–3 000 ₽; работаем 24/7, в том числе ночью после смены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Частота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2–4 раза в месяц, чаще — зимой и в праздники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Расходы клиента в месяц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1 000–2 000 ₽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Где найти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 xml:space="preserve">АЗС и мойки у вокзалов, аэропортов, ТЦ; чаты и группы таксистов </w:t>
            </w:r>
            <w:r>
              <w:rPr>
                <w:b/>
                <w:sz w:val="20"/>
                <w:highlight w:val="yellow"/>
              </w:rPr>
              <w:t>название</w:t>
            </w:r>
            <w:r>
              <w:rPr>
                <w:b w:val="0"/>
                <w:i w:val="0"/>
                <w:sz w:val="20"/>
              </w:rPr>
              <w:t xml:space="preserve">; таксопарки </w:t>
            </w:r>
            <w:r>
              <w:rPr>
                <w:b/>
                <w:sz w:val="20"/>
                <w:highlight w:val="yellow"/>
              </w:rPr>
              <w:t>названия</w:t>
            </w:r>
            <w:r>
              <w:rPr>
                <w:b w:val="0"/>
                <w:i w:val="0"/>
                <w:sz w:val="20"/>
              </w:rPr>
              <w:t>; стоянки в ожидании заказа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Предложение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«каждая 5-я обработка — в подарок»; договор с таксопарком на обработку всего парка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Другие сегменты клиентов: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226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Сегмент</w:t>
            </w:r>
          </w:p>
        </w:tc>
        <w:tc>
          <w:tcPr>
            <w:tcW w:type="dxa" w:w="300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Повод обратиться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Частота</w:t>
            </w:r>
          </w:p>
        </w:tc>
        <w:tc>
          <w:tcPr>
            <w:tcW w:type="dxa" w:w="289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Как привлечь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Владелец личного авто, 25–60 лет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после мойки «довести салон до свежести», курение, кондиционер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 раз в 1–2 мес.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баннер у мойки, карточка на картах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Семьи с детьми и животными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пролитое молоко, еда, шерсть, запах животных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1–2 раза в мес.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акции выходного дня, соцсети района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Перекупщики, автосалоны б/у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предпродажная подготовка — свежий салон продаёт авто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на каждую машину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договор, оптовая цена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Дальнобойщики, водители грузовиков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живут в кабине неделями: еда, сырость, табак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 каждом рейсе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размещение у АЗС на трассе, стоянок</w:t>
            </w:r>
          </w:p>
        </w:tc>
      </w:tr>
      <w:tr>
        <w:trPr>
          <w:cantSplit w:val="true"/>
        </w:trPr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Курьеры, «Газели», доставка</w:t>
            </w:r>
          </w:p>
        </w:tc>
        <w:tc>
          <w:tcPr>
            <w:tcW w:type="dxa" w:w="300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запахи груза и еды, сырость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2–3 раза в мес.</w:t>
            </w:r>
          </w:p>
        </w:tc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объявления на складах и рынках</w:t>
            </w:r>
          </w:p>
        </w:tc>
      </w:tr>
      <w:tr>
        <w:trPr>
          <w:cantSplit w:val="true"/>
        </w:trPr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Каршеринг, прокат, перевозчики</w:t>
            </w:r>
          </w:p>
        </w:tc>
        <w:tc>
          <w:tcPr>
            <w:tcW w:type="dxa" w:w="300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чистый салон между клиентами, автобусы и маршрутки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регулярно</w:t>
            </w:r>
          </w:p>
        </w:tc>
        <w:tc>
          <w:tcPr>
            <w:tcW w:type="dxa" w:w="28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корпоративный договор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4. Оборудование и обоснование выбора поставщика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Параметр</w:t>
            </w:r>
          </w:p>
        </w:tc>
        <w:tc>
          <w:tcPr>
            <w:tcW w:type="dxa" w:w="708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Модель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«Сухой туман» самообслуживания «Ваш Стиль» — 5 ароматов (артикул СТ-5А)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240 000 ₽ (https://аква-групп.рф/product/sukhoy-tuman-samoobsluzhivaniya-vash-stil-5-aromatov)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Производитель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ООО «АКВА ГРУПП», ИНН 7720898528, г. Москва, ул. 2-я Энтузиастов, д. 5, к. 39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 кнопок ароматов + функция промывки; ароматы выбираются при заказе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Оплата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наличные и монеты (купюро- и монетоприёмник); безналичную оплату можно подключить позже за счёт прибыли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Питание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220 В, обычная розетка; потребление ≈ 45 ₽ в сутки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Комплектация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аппарат в фирменном корпусе, система подачи ароматов, шланг 7,5 м, насадка с креплением в стекло, поворотная консоль, настройка дозировки, канистры жидкости по числу ароматов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Настройка цены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стоимость услуги владелец задаёт сам и может менять в зависимости от сезона и спроса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Самоочистка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автоматическая промывка форсунки после каждого цикла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Режим работы</w:t>
            </w:r>
          </w:p>
        </w:tc>
        <w:tc>
          <w:tcPr>
            <w:tcW w:type="dxa" w:w="708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круглосуточно и круглый год — зимой и летом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Документы</w:t>
            </w:r>
          </w:p>
        </w:tc>
        <w:tc>
          <w:tcPr>
            <w:tcW w:type="dxa" w:w="708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сертификаты соответствия РОСС RU.32875.04НВА0.00501 / 00502; договор, счёт, УПД; гарантия 12 месяцев</w:t>
            </w:r>
          </w:p>
        </w:tc>
      </w:tr>
    </w:tbl>
    <w:p>
      <w:pPr>
        <w:spacing w:after="0" w:line="200" w:lineRule="exact"/>
      </w:pPr>
    </w:p>
    <w:p>
      <w:pPr>
        <w:pStyle w:val="Heading2"/>
        <w:keepNext/>
        <w:spacing w:before="200" w:after="120"/>
      </w:pPr>
      <w:r>
        <w:rPr>
          <w:b w:val="0"/>
          <w:i w:val="0"/>
          <w:color w:val="1F3864"/>
        </w:rPr>
        <w:t>4.1. Почему выбран производитель ООО «АКВА ГРУПП»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При анализе рынка заявитель сравнил предложения производителей и поставщиков терминалов «Сухой туман». Ключевой узел терминала — фогер (генератор тумана): от его исправности зависит, будет ли терминал зарабатывать. Сравнение показало, что ООО «АКВА ГРУПП» — единственный из рассмотренных производителей, который: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оснащает терминал собственной системой автоматической самоочистки фогера — разработка и конструкция самой компании, аналогов на рынке не выявлено. После каждого цикла форсунка промывается автоматически, ароматическая жидкость не засыхает и не засоряет генератор;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даёт гарантию 12 месяцев;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является производителем, а не перепродавцом: проектирует, собирает и обслуживает терминалы сам, поставляет сертифицированные жидкости (РОСС RU.32875.04НВА0.00501 / 00502) и помогает с запуском.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 других рассмотренных поставщиков — ООО «Аквамойпрофи» и ИП Ковтун Е. И. — самоочистки нет: генератор тумана приходится промывать вручную раз в 2–3 дня. Это значит, что оборудование не доработано: при пропуске промывки фогер засоряется и выходит из строя, ремонт оплачивает владелец, а терминал простаивает и не приносит дохода. Для начинающего предпринимателя без технического опыта и без резерва на ремонт такой риск недопустим.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Выбор АКВА ГРУПП даёт проекту: долгий срок службы оборудования без поломок, меньше времени на обслуживание (нет ручной промывки), отсутствие простоев и незапланированных расходов в период социального контракта, а значит — стабильный доход и выполнение обязательств перед органом соцзащиты.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Сравнение предложений поставщиков: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92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Критерий</w:t>
            </w:r>
          </w:p>
        </w:tc>
        <w:tc>
          <w:tcPr>
            <w:tcW w:type="dxa" w:w="272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ООО «АКВА ГРУПП»</w:t>
            </w:r>
          </w:p>
        </w:tc>
        <w:tc>
          <w:tcPr>
            <w:tcW w:type="dxa" w:w="24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ООО «Аквамойпрофи»</w:t>
            </w:r>
          </w:p>
        </w:tc>
        <w:tc>
          <w:tcPr>
            <w:tcW w:type="dxa" w:w="24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ИП Ковтун Елена Игоревна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Модель и цена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СТ-5А «Ваш Стиль», 240 000 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«Эконом», 220 000 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«Стандарт», 260 000 ₽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Производство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собственное производство: проектирование, сборка, обслуживание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частично своё: часть узлов производят сами, часть закупают готовыми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полноценного собственного производства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Платы управления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современная электроника, настройка расхода и дозировки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устаревшие платы управления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устаревшие платы управления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Самоочистка фогера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автоматическая после каждого цикла (собственная разработка)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— ручная промывка раз в 2–3 дня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— ручная промывка раз в 2–3 дня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Внешний вид корпуса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современный дизайн, брендирование и LED-подсветка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корпус визуально непривлекательный, не выделяется на площадке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корпус непривлекательный, визуально перегруженный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Гарантия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месяцев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месяцев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гарантии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Сертификаты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оборудование и жидкости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сертификатов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нет сертификатов</w:t>
            </w:r>
          </w:p>
        </w:tc>
      </w:tr>
      <w:tr>
        <w:trPr>
          <w:cantSplit w:val="true"/>
        </w:trPr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Помощь в запуске</w:t>
            </w:r>
          </w:p>
        </w:tc>
        <w:tc>
          <w:tcPr>
            <w:tcW w:type="dxa" w:w="272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  <w:tc>
          <w:tcPr>
            <w:tcW w:type="dxa" w:w="249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</w:t>
            </w:r>
          </w:p>
        </w:tc>
      </w:tr>
      <w:tr>
        <w:trPr>
          <w:cantSplit w:val="true"/>
        </w:trPr>
        <w:tc>
          <w:tcPr>
            <w:tcW w:type="dxa" w:w="192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Вывод</w:t>
            </w:r>
          </w:p>
        </w:tc>
        <w:tc>
          <w:tcPr>
            <w:tcW w:type="dxa" w:w="272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выбран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 подходит: нет самоочистки и сертификатов, устаревшая электроника, непривлекательный корпус</w:t>
            </w:r>
          </w:p>
        </w:tc>
        <w:tc>
          <w:tcPr>
            <w:tcW w:type="dxa" w:w="249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не подходит: дороже на 20 000 ₽, нет гарантии и сертификатов, устаревшая электроника, нет полноценного производства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5. Анализ рынка и конкурентов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В </w:t>
      </w:r>
      <w:r>
        <w:rPr>
          <w:b/>
          <w:highlight w:val="yellow"/>
        </w:rPr>
        <w:t>населённом пункте / районе</w:t>
      </w:r>
      <w:r>
        <w:rPr>
          <w:b w:val="0"/>
          <w:i w:val="0"/>
        </w:rPr>
        <w:t xml:space="preserve"> проживает около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тыс. человек, зарегистрировано около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легковых автомобилей. В радиусе </w:t>
      </w:r>
      <w:r>
        <w:rPr>
          <w:b/>
          <w:highlight w:val="yellow"/>
        </w:rPr>
        <w:t>3</w:t>
      </w:r>
      <w:r>
        <w:rPr>
          <w:b w:val="0"/>
          <w:i w:val="0"/>
        </w:rPr>
        <w:t xml:space="preserve"> км от места размещения находятся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автомоек,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АЗС,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парковок ТЦ. Услуга сухого тумана в формате самообслуживания </w:t>
      </w:r>
      <w:r>
        <w:rPr>
          <w:b/>
          <w:highlight w:val="yellow"/>
        </w:rPr>
        <w:t>не представлена / есть на ___ объектах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Услуга ароматизации салона становится массовой: терминалы сухого тумана устанавливаются на мойках самообслуживания и АЗС по всей России. Клиенту нужна быстрая и недорогая альтернатива химчистке и озонированию, а владельцу площадки — дополнительная услуга без затрат на персонал.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21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Конкурент</w:t>
            </w:r>
          </w:p>
        </w:tc>
        <w:tc>
          <w:tcPr>
            <w:tcW w:type="dxa" w:w="238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Услуга</w:t>
            </w:r>
          </w:p>
        </w:tc>
        <w:tc>
          <w:tcPr>
            <w:tcW w:type="dxa" w:w="181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Цена</w:t>
            </w:r>
          </w:p>
        </w:tc>
        <w:tc>
          <w:tcPr>
            <w:tcW w:type="dxa" w:w="328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Наше преимущество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Детейлинг «____»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озонирование / сухой туман мастером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1 500–3 000 ₽</w:t>
            </w:r>
          </w:p>
        </w:tc>
        <w:tc>
          <w:tcPr>
            <w:tcW w:type="dxa" w:w="328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 3–6 раз дешевле, 24/7, без записи</w:t>
            </w:r>
          </w:p>
        </w:tc>
      </w:tr>
      <w:tr>
        <w:trPr>
          <w:cantSplit w:val="true"/>
        </w:trPr>
        <w:tc>
          <w:tcPr>
            <w:tcW w:type="dxa" w:w="215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Автомойка «____»</w:t>
            </w:r>
          </w:p>
        </w:tc>
        <w:tc>
          <w:tcPr>
            <w:tcW w:type="dxa" w:w="238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ароматизаторы, спреи</w:t>
            </w:r>
          </w:p>
        </w:tc>
        <w:tc>
          <w:tcPr>
            <w:tcW w:type="dxa" w:w="1814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150–500 ₽</w:t>
            </w:r>
          </w:p>
        </w:tc>
        <w:tc>
          <w:tcPr>
            <w:tcW w:type="dxa" w:w="328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устраняет запах, а не маскирует</w:t>
            </w:r>
          </w:p>
        </w:tc>
      </w:tr>
      <w:tr>
        <w:trPr>
          <w:cantSplit w:val="true"/>
        </w:trPr>
        <w:tc>
          <w:tcPr>
            <w:tcW w:type="dxa" w:w="215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Химчистка салона</w:t>
            </w:r>
          </w:p>
        </w:tc>
        <w:tc>
          <w:tcPr>
            <w:tcW w:type="dxa" w:w="238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полная химчистка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>
              <w:rPr>
                <w:b/>
                <w:sz w:val="20"/>
                <w:highlight w:val="yellow"/>
              </w:rPr>
              <w:t>5 000–12 000 ₽</w:t>
            </w:r>
          </w:p>
        </w:tc>
        <w:tc>
          <w:tcPr>
            <w:tcW w:type="dxa" w:w="328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 5 минут, без сушки салона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SWOT-анализ проекта: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Сильные стороны</w:t>
            </w:r>
          </w:p>
        </w:tc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Слабые стороны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работа 24/7 круглый год без персонала; надёжное оборудование — самоочистка фогера и гарантия 12 мес.; низкая себестоимость (40 ₽ за цикл); быстрая услуга; подходит для легковых и грузовых авто; бизнес легко масштабировать — новые точки из прибыли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нет опыта ведения бизнеса; оплата только наличными на старте; зависимость от потока площадки</w:t>
            </w:r>
          </w:p>
        </w:tc>
      </w:tr>
    </w:tbl>
    <w:p>
      <w:pPr>
        <w:spacing w:after="0" w:line="200" w:lineRule="exact"/>
      </w:pP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Возможности</w:t>
            </w:r>
          </w:p>
        </w:tc>
        <w:tc>
          <w:tcPr>
            <w:tcW w:type="dxa" w:w="481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Угрозы</w:t>
            </w:r>
          </w:p>
        </w:tc>
      </w:tr>
      <w:tr>
        <w:trPr>
          <w:cantSplit w:val="true"/>
        </w:trPr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рост автопарка и такси; второй терминал за счёт прибыли; подключение безналичной оплаты; договоры с таксопарками и автосалонами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появление конкурентов рядом; сезонное снижение спроса; поломка или вандализм; рост цен на жидкость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6. Сезонность спроса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Спрос на ароматизацию салона связан с потоком автомобилей на площадке и погодой. Пики — весна (грязь, сырость после зимы, массовые мойки и смена резины) и осень (дожди, слякоть, влажность в салоне). Спад — сильные морозы и период отпусков. При этом терминал работает круглый год — и зимой, и летом: зимой клиенты убирают запах сырости, печки и реагентов, летом — запахи от жары, кондиционера и поездок, поэтому полностью «мёртвого» сезона у услуги нет. Для каждого месяца предусмотрены свои меры: цена в коридоре 400–500 ₽, акции и работа с корпоративными клиентами.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3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Месяц</w:t>
            </w:r>
          </w:p>
        </w:tc>
        <w:tc>
          <w:tcPr>
            <w:tcW w:type="dxa" w:w="119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Коэфф. спроса</w:t>
            </w:r>
          </w:p>
        </w:tc>
        <w:tc>
          <w:tcPr>
            <w:tcW w:type="dxa" w:w="368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Что влияет на спрос</w:t>
            </w:r>
          </w:p>
        </w:tc>
        <w:tc>
          <w:tcPr>
            <w:tcW w:type="dxa" w:w="340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Наши действия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Январь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0,80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морозы, машины моют реже; запах сырости от печки и снега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акция «антизапах печки», цена 400–450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Февраль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0,85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морозы, реагенты; слабый трафик моек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работа с таксопарками, цена 400–450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Март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1,15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оттепель, грязь и сырость, первые массовые мойки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баннер «весеннее обновление салона»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Апрель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1,25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пик моек после зимы, смена резины, предпродажа авто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максимальный запас жидкости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Май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дачный сезон: рассада, животные, поездки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Июнь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1,00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жара — запахи в салоне, кондиционер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акция «свежий кондиционер», цена 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Июль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0,90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отпуска, часть клиентов уезжает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скидка в будни, цена 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Август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0,90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отпуска, возвращение из поездок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Сентябрь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1,00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начало сезона дождей, школа — детские кресла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Октябрь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1,15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дожди, листья, сырость в салоне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</w:t>
            </w:r>
          </w:p>
        </w:tc>
      </w:tr>
      <w:tr>
        <w:trPr>
          <w:cantSplit w:val="true"/>
        </w:trPr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Ноябрь</w:t>
            </w:r>
          </w:p>
        </w:tc>
        <w:tc>
          <w:tcPr>
            <w:tcW w:type="dxa" w:w="119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1,20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слякоть, смена резины, сырость</w:t>
            </w:r>
          </w:p>
        </w:tc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</w:t>
            </w:r>
          </w:p>
        </w:tc>
      </w:tr>
      <w:tr>
        <w:trPr>
          <w:cantSplit w:val="true"/>
        </w:trPr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Декабрь</w:t>
            </w:r>
          </w:p>
        </w:tc>
        <w:tc>
          <w:tcPr>
            <w:tcW w:type="dxa" w:w="119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1,10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предновогодние мойки, подготовка к праздникам</w:t>
            </w:r>
          </w:p>
        </w:tc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₽, подарочная акция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2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s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2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1. Сезонный коэффициент спроса по месяцам (1,00 — плановая загрузка)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Коэффициент 1,00 соответствует плановой загрузке 12 услуг в сутки. Сезонные коэффициенты заложены в финансовый план (раздел 13), поэтому спады уже учтены в прогнозе дохода.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Праздничные пики. В праздничные и предпраздничные дни поток автомобилей на мойках и АЗС заметно выше обычного: люди готовят машины к поездкам и встречам, такси работает с повышенной загрузкой. В эти дни цена устанавливается на максимальном уровне, а запас жидкости пополняется заранее.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8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Период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Почему растёт спрос</w:t>
            </w:r>
          </w:p>
        </w:tc>
        <w:tc>
          <w:tcPr>
            <w:tcW w:type="dxa" w:w="28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Наши действия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Новогодние праздники (20–31 декабря, 1–8 января)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поездки в гости и за город, подготовка машины к праздникам, такси работает на пределе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подарочные карты «свежий салон»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23 февраля и 8 марта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мойка перед праздником, подарок водителю, такси с повышенным спросом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акция «подарок для него / для неё»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Майские праздники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выезды на дачу и шашлыки, животные и рассада в салоне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500 ₽, максимальный запас жидкости</w:t>
            </w:r>
          </w:p>
        </w:tc>
      </w:tr>
      <w:tr>
        <w:trPr>
          <w:cantSplit w:val="true"/>
        </w:trPr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12 июня, 4 ноября и другие длинные выходные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дальние поездки, возвращение в город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Каждая пятница–воскресенье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основной поток моек и личных автомобилей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цена 450–500 ₽, контроль жидкости перед выходными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7. Место размещения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Терминалу нужны 1 м² площади, розетка 220 В и поток автомобилей. Поэтому его можно разместить практически на любой площадке, где водители останавливаются хотя бы на 10 минут: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60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Тип площадки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Почему подходит</w:t>
            </w:r>
          </w:p>
        </w:tc>
        <w:tc>
          <w:tcPr>
            <w:tcW w:type="dxa" w:w="30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9"/>
              </w:rPr>
              <w:t>Типовые условия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Мойка самообслуживания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поток 100–300 машин/сутки, клиент уже чистит авто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3–7 тыс. ₽/мес или 10–15 % выручки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Ручная / портальная автомойка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 ждёт машину — время на доп. услугу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% от выручки, продаёт администратор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АЗС, придорожный комплекс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большой поток, дальнобойщики и таксисты, 24/7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5–10 тыс. ₽/мес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Паркинг ТЦ / гипермаркета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 оставляет машину на 1–2 часа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места у УК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Подземный паркинг ЖК, бизнес-центра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постоянные клиенты, повторные услуги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 с УК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Детейлинг, шиномонтаж, автосервис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доп. услуга к основному обслуживанию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% от выручки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Площадки б/у авто, стоянки такси и каршеринга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предпродажная подготовка, водители такси</w:t>
            </w:r>
          </w:p>
        </w:tc>
        <w:tc>
          <w:tcPr>
            <w:tcW w:type="dxa" w:w="30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договор с владельцем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Платная стоянка, гостиница, кемпинг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клиенты с животными и после дороги</w:t>
            </w:r>
          </w:p>
        </w:tc>
        <w:tc>
          <w:tcPr>
            <w:tcW w:type="dxa" w:w="30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9"/>
              </w:rPr>
              <w:t>аренда / %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Выбранная площадка: </w:t>
      </w:r>
      <w:r>
        <w:rPr>
          <w:b/>
          <w:highlight w:val="yellow"/>
        </w:rPr>
        <w:t>тип площадки</w:t>
      </w:r>
      <w:r>
        <w:rPr>
          <w:b w:val="0"/>
          <w:i w:val="0"/>
        </w:rPr>
        <w:t xml:space="preserve">, </w:t>
      </w:r>
      <w:r>
        <w:rPr>
          <w:b/>
          <w:highlight w:val="yellow"/>
        </w:rPr>
        <w:t>адрес</w:t>
      </w:r>
      <w:r>
        <w:rPr>
          <w:b w:val="0"/>
          <w:i w:val="0"/>
        </w:rPr>
        <w:t xml:space="preserve">. Владелец — </w:t>
      </w:r>
      <w:r>
        <w:rPr>
          <w:b/>
          <w:highlight w:val="yellow"/>
        </w:rPr>
        <w:t>ИП / ООО «____», ФИО</w:t>
      </w:r>
      <w:r>
        <w:rPr>
          <w:b w:val="0"/>
          <w:i w:val="0"/>
        </w:rPr>
        <w:t xml:space="preserve"> — подтвердил готовность предоставить место гарантийным письмом (приложение 2). Условия: </w:t>
      </w:r>
      <w:r>
        <w:rPr>
          <w:b/>
          <w:highlight w:val="yellow"/>
        </w:rPr>
        <w:t>7 000 ₽ в месяц / ___ % от выручки</w:t>
      </w:r>
      <w:r>
        <w:rPr>
          <w:b w:val="0"/>
          <w:i w:val="0"/>
        </w:rPr>
        <w:t xml:space="preserve">, подключение к электросети за счёт владельца площадки, режим работы </w:t>
      </w:r>
      <w:r>
        <w:rPr>
          <w:b/>
          <w:highlight w:val="yellow"/>
        </w:rPr>
        <w:t>круглосуточно</w:t>
      </w:r>
      <w:r>
        <w:rPr>
          <w:b w:val="0"/>
          <w:i w:val="0"/>
        </w:rPr>
        <w:t xml:space="preserve">, видеонаблюдение </w:t>
      </w:r>
      <w:r>
        <w:rPr>
          <w:b/>
          <w:highlight w:val="yellow"/>
        </w:rPr>
        <w:t>есть</w:t>
      </w:r>
      <w:r>
        <w:rPr>
          <w:b w:val="0"/>
          <w:i w:val="0"/>
        </w:rPr>
        <w:t>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 xml:space="preserve">Поток автомобилей на площадке — </w:t>
      </w:r>
      <w:r>
        <w:rPr>
          <w:b/>
          <w:highlight w:val="yellow"/>
        </w:rPr>
        <w:t>____</w:t>
      </w:r>
      <w:r>
        <w:rPr>
          <w:b w:val="0"/>
          <w:i w:val="0"/>
        </w:rPr>
        <w:t xml:space="preserve"> в сутки (по данным владельца / подсчёт заявителя </w:t>
      </w:r>
      <w:r>
        <w:rPr>
          <w:b/>
          <w:highlight w:val="yellow"/>
        </w:rPr>
        <w:t>дата</w:t>
      </w:r>
      <w:r>
        <w:rPr>
          <w:b w:val="0"/>
          <w:i w:val="0"/>
        </w:rPr>
        <w:t xml:space="preserve">). В базовом расчёте принято 12 услуг в сутки (диапазон 7–25), т. е. </w:t>
      </w:r>
      <w:r>
        <w:rPr>
          <w:b/>
          <w:highlight w:val="yellow"/>
        </w:rPr>
        <w:t>около 5–10</w:t>
      </w:r>
      <w:r>
        <w:rPr>
          <w:b w:val="0"/>
          <w:i w:val="0"/>
        </w:rPr>
        <w:t xml:space="preserve"> % от потока. Резервная площадка на случай расторжения договора: </w:t>
      </w:r>
      <w:r>
        <w:rPr>
          <w:b/>
          <w:highlight w:val="yellow"/>
        </w:rPr>
        <w:t>адрес</w:t>
      </w:r>
      <w:r>
        <w:rPr>
          <w:b w:val="0"/>
          <w:i w:val="0"/>
        </w:rPr>
        <w:t>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8. Маркетинг и ценовая политика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Ценовая политика. Стоимость услуги владелец устанавливает сам в настройках терминала. На старте — 400 ₽, чтобы клиенты попробовали услугу; в обычные месяцы — 450 ₽; в сезон высокого спроса и в часы пик — до 500 ₽. При стабильно высокой загрузке цену можно повышать — это не требует согласования и затрат. Себестоимость цикла — 40 ₽, поэтому даже минимальная цена даёт маржу более 85 %.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Каналы продвижения: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фирменный брендированный корпус с подсветкой — терминал сам привлекает внимание;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баннер и штендер у въезда, наклейки-инструкции в боксах мойки / на стойках паркинга;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карточка точки на Яндекс Картах и 2ГИС: фото, цена, режим работы, отзывы;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акции: «первая обработка за 300 ₽» в первый месяц, «каждая 5-я — в подарок» по фото чеков;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 xml:space="preserve">договоры с таксопарками и площадками б/у авто: </w:t>
      </w:r>
      <w:r>
        <w:rPr>
          <w:b/>
          <w:highlight w:val="yellow"/>
        </w:rPr>
        <w:t>названия</w:t>
      </w:r>
      <w:r>
        <w:rPr>
          <w:b w:val="0"/>
          <w:i w:val="0"/>
        </w:rPr>
        <w:t xml:space="preserve"> — регулярные обработки;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 xml:space="preserve">местные сообщества в </w:t>
      </w:r>
      <w:r>
        <w:rPr>
          <w:b/>
          <w:highlight w:val="yellow"/>
        </w:rPr>
        <w:t>VK / Telegram / MAX</w:t>
      </w:r>
      <w:r>
        <w:rPr>
          <w:b w:val="0"/>
          <w:i w:val="0"/>
        </w:rPr>
        <w:t>: публикации о запуске и сезонных акциях;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совместные акции с владельцем площадки: скидка на сухой туман при мойке;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праздничные акции и подарочные карты «свежий салон» к Новому году, 23 февраля и 8 марта;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отдельное предложение для таксистов и грузовых перевозчиков (раздел 3.1).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9. Производственный (операционный) план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45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Операция</w:t>
            </w:r>
          </w:p>
        </w:tc>
        <w:tc>
          <w:tcPr>
            <w:tcW w:type="dxa" w:w="311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Периодичность</w:t>
            </w:r>
          </w:p>
        </w:tc>
        <w:tc>
          <w:tcPr>
            <w:tcW w:type="dxa" w:w="198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Время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Осмотр терминала, проверка уровня жидкостей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ежедневно / через день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 мин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Инкассация наличных, учёт выручки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2–3 раза в неделю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 мин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Заправка ароматической жидкости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 мере расхода (≈ 1 раз в неделю)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20 мин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Чистка насадки и корпуса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еженедельно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20 мин</w:t>
            </w:r>
          </w:p>
        </w:tc>
      </w:tr>
      <w:tr>
        <w:trPr>
          <w:cantSplit w:val="true"/>
        </w:trPr>
        <w:tc>
          <w:tcPr>
            <w:tcW w:type="dxa" w:w="453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Закупка жидкостей у производителя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заказ онлайн</w:t>
            </w:r>
          </w:p>
        </w:tc>
      </w:tr>
      <w:tr>
        <w:trPr>
          <w:cantSplit w:val="true"/>
        </w:trPr>
        <w:tc>
          <w:tcPr>
            <w:tcW w:type="dxa" w:w="453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Анализ продаж, изменение цены, акции</w:t>
            </w:r>
          </w:p>
        </w:tc>
        <w:tc>
          <w:tcPr>
            <w:tcW w:type="dxa" w:w="311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час</w:t>
            </w: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Расход жидкости — 40 ₽ на один цикл. При 360 услугах в месяц нужно жидкости на 14 400 ₽. Стартовый запас закупается за счёт средств контракта, далее — из выручки. Работа занимает 3–5 часов в неделю, что позволяет совмещать её с другими обязанностями.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10. Организационно-правовой план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регистрация в качестве плательщика НПД — через приложение «Мой налог» или Госуслуги, бесплатно;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налог 4 % с доходов от физических лиц, без отчётности и обязательных взносов;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чек формируется в «Мой налог» на сумму выручки; онлайн-касса не требуется;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ограничения НПД соблюдаются: доход до 2,4 млн ₽ в год, наёмных работников нет. Лимит соответствует ≈ 15 услугам в сутки; при устойчиво большей загрузке заявитель переходит в статус ИП (УСН 6 %) без прекращения деятельности;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договор аренды места заключается с владельцем площадки от имени самозанятого.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11. Календарный план реализации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План охватывает путь от подачи заявления до запуска точки и первой выручки — около 10 недель. Далее терминал работает в штатном режиме, а заявитель ежемесячно отчитывается перед органом соцзащиты.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60" w:type="dxa"/>
          <w:right w:w="60" w:type="dxa"/>
        </w:tblCellMar>
        <w:tblLook w:firstColumn="1" w:firstRow="1" w:lastColumn="0" w:lastRow="0" w:noHBand="0" w:noVBand="1" w:val="04A0"/>
      </w:tblPr>
      <w:tblGrid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</w:tblGrid>
      <w:tr>
        <w:trPr>
          <w:cantSplit w:val="true"/>
          <w:tblHeader w:val="true"/>
        </w:trPr>
        <w:tc>
          <w:tcPr>
            <w:tcW w:type="dxa" w:w="39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№</w:t>
            </w:r>
          </w:p>
        </w:tc>
        <w:tc>
          <w:tcPr>
            <w:tcW w:type="dxa" w:w="283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Этап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1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2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3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4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5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6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7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8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9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10</w:t>
            </w:r>
          </w:p>
        </w:tc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7"/>
              </w:rPr>
              <w:t>Результат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1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Подача заявления и документов</w:t>
            </w: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заявление, пакет документов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2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Проверка нуждаемости, тест МСП.РФ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результат проверки и теста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3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Защита бизнес-плана, заключение контракта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решение комиссии, контракт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4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Регистрация самозанятого в «Мой налог», получение выплаты</w:t>
            </w: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справка НПД, выписка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5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Договор с поставщиком, оплата терминала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договор, счёт, платёжка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6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Договор с владельцем площадки</w:t>
            </w: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договор аренды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7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Изготовление и доставка терминала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УПД / накладная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8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Монтаж и подключение</w:t>
            </w: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акт, фото</w:t>
            </w:r>
          </w:p>
        </w:tc>
      </w:tr>
      <w:tr>
        <w:trPr>
          <w:cantSplit w:val="true"/>
        </w:trPr>
        <w:tc>
          <w:tcPr>
            <w:tcW w:type="dxa" w:w="397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9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Запуск, реклама, первые клиенты</w:t>
            </w: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фотоотчёт, первые чеки</w:t>
            </w:r>
          </w:p>
        </w:tc>
      </w:tr>
      <w:tr>
        <w:trPr>
          <w:cantSplit w:val="true"/>
        </w:trPr>
        <w:tc>
          <w:tcPr>
            <w:tcW w:type="dxa" w:w="397"/>
            <w:shd w:val="clear" w:color="auto" w:fill="F2F5FA"/>
          </w:tcPr>
          <w:p>
            <w:pPr>
              <w:spacing w:after="0" w:line="240" w:lineRule="auto"/>
              <w:jc w:val="center"/>
            </w:pPr>
            <w:r>
              <w:rPr>
                <w:b w:val="0"/>
                <w:i w:val="0"/>
                <w:sz w:val="17"/>
              </w:rPr>
              <w:t>10</w:t>
            </w:r>
          </w:p>
        </w:tc>
        <w:tc>
          <w:tcPr>
            <w:tcW w:type="dxa" w:w="2835"/>
            <w:shd w:val="clear" w:color="auto" w:fill="F2F5FA"/>
          </w:tcPr>
          <w:p>
            <w:pPr>
              <w:spacing w:after="0" w:line="240" w:lineRule="auto"/>
            </w:pPr>
            <w:r>
              <w:rPr>
                <w:b/>
                <w:i w:val="0"/>
                <w:sz w:val="17"/>
              </w:rPr>
              <w:t>Отчёт о покупках в орган соцзащиты</w:t>
            </w: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F2F5FA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1F3864"/>
          </w:tcPr>
          <w:p>
            <w:pPr>
              <w:spacing w:after="0" w:line="240" w:lineRule="auto"/>
            </w:pPr>
          </w:p>
        </w:tc>
        <w:tc>
          <w:tcPr>
            <w:tcW w:type="dxa" w:w="386"/>
            <w:shd w:val="clear" w:color="auto" w:fill="C55A11"/>
          </w:tcPr>
          <w:p>
            <w:pPr>
              <w:spacing w:after="0" w:line="240" w:lineRule="auto"/>
              <w:jc w:val="center"/>
            </w:pPr>
            <w:r>
              <w:rPr>
                <w:b/>
                <w:i w:val="0"/>
                <w:color w:val="FFFFFF"/>
                <w:sz w:val="16"/>
              </w:rPr>
              <w:t>◆</w:t>
            </w:r>
          </w:p>
        </w:tc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7"/>
              </w:rPr>
              <w:t>чеки, договоры, фото</w:t>
            </w:r>
          </w:p>
        </w:tc>
      </w:tr>
    </w:tbl>
    <w:p>
      <w:pPr>
        <w:spacing w:after="200"/>
      </w:pPr>
      <w:r>
        <w:rPr>
          <w:b w:val="0"/>
          <w:i w:val="0"/>
          <w:color w:val="1F3864"/>
          <w:sz w:val="18"/>
        </w:rPr>
        <w:t xml:space="preserve">■ </w:t>
      </w:r>
      <w:r>
        <w:rPr>
          <w:b w:val="0"/>
          <w:i w:val="0"/>
          <w:color w:val="595959"/>
          <w:sz w:val="18"/>
        </w:rPr>
        <w:t xml:space="preserve">выполнение этапа    </w:t>
      </w:r>
      <w:r>
        <w:rPr>
          <w:b w:val="0"/>
          <w:i w:val="0"/>
          <w:color w:val="C55A11"/>
          <w:sz w:val="18"/>
        </w:rPr>
        <w:t xml:space="preserve">◆ </w:t>
      </w:r>
      <w:r>
        <w:rPr>
          <w:b w:val="0"/>
          <w:i w:val="0"/>
          <w:color w:val="595959"/>
          <w:sz w:val="18"/>
        </w:rPr>
        <w:t xml:space="preserve">контрольная точка    </w:t>
      </w:r>
      <w:r>
        <w:rPr>
          <w:b w:val="0"/>
          <w:i w:val="0"/>
          <w:color w:val="595959"/>
          <w:sz w:val="18"/>
        </w:rPr>
        <w:t>Номера столбцов — недели от подачи заявления. Сроки ориентировочные, зависят от региона.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Контрольные точки после запуска: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198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Срок</w:t>
            </w:r>
          </w:p>
        </w:tc>
        <w:tc>
          <w:tcPr>
            <w:tcW w:type="dxa" w:w="39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Событие</w:t>
            </w:r>
          </w:p>
        </w:tc>
        <w:tc>
          <w:tcPr>
            <w:tcW w:type="dxa" w:w="3685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Показатель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3-я неделя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социальный контракт заключён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договор подписан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4-я неделя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выплата получена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350 000 ₽ на счёте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9-я неделя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запущен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первая выручка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4-й месяц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выход на плановую загрузку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≈ 12 услуг в сутки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4-й месяц работы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вложения окупились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накопленная прибыль ≥ 350 000 ₽</w:t>
            </w:r>
          </w:p>
        </w:tc>
      </w:tr>
      <w:tr>
        <w:trPr>
          <w:cantSplit w:val="true"/>
        </w:trPr>
        <w:tc>
          <w:tcPr>
            <w:tcW w:type="dxa" w:w="198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9-й месяц работы</w:t>
            </w:r>
          </w:p>
        </w:tc>
        <w:tc>
          <w:tcPr>
            <w:tcW w:type="dxa" w:w="39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накоплено на второй терминал</w:t>
            </w:r>
          </w:p>
        </w:tc>
        <w:tc>
          <w:tcPr>
            <w:tcW w:type="dxa" w:w="3685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≈ 285 000 ₽</w:t>
            </w:r>
          </w:p>
        </w:tc>
      </w:tr>
      <w:tr>
        <w:trPr>
          <w:cantSplit w:val="true"/>
        </w:trPr>
        <w:tc>
          <w:tcPr>
            <w:tcW w:type="dxa" w:w="198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ежемесячно</w:t>
            </w:r>
          </w:p>
        </w:tc>
        <w:tc>
          <w:tcPr>
            <w:tcW w:type="dxa" w:w="39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отчёт в орган соцзащиты</w:t>
            </w:r>
          </w:p>
        </w:tc>
        <w:tc>
          <w:tcPr>
            <w:tcW w:type="dxa" w:w="3685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доход, чеки, выписки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12. Смета расходов за счёт средств социального контракта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4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476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Наименование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Сумма</w:t>
            </w:r>
          </w:p>
        </w:tc>
        <w:tc>
          <w:tcPr>
            <w:tcW w:type="dxa" w:w="294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Назначение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«Сухой туман» самообслуживания «Ваш Стиль» — 5 ароматов (артикул СТ-5А), в комплекте канистры ароматов и жидкость для промывки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240 000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основное оборудование — оказывает услугу без персонала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Брендирование корпуса терминала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узнаваемость, привлечение клиентов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LED-подсветка корпуса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заметность точки в тёмное время суток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Ароматическая жидкость и жидкость для промывки — запас на 6 месяцев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25 000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расходный материал, ≈ 600 циклов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Доставка, монтаж, подключение к сети 220 В (кабель, автомат, крепёж)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15 000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ввод оборудования в эксплуатацию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6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Защитный козырёк и антивандальное крепление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9 000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защита от осадков и вандализма</w:t>
            </w:r>
          </w:p>
        </w:tc>
      </w:tr>
      <w:tr>
        <w:trPr>
          <w:cantSplit w:val="true"/>
        </w:trPr>
        <w:tc>
          <w:tcPr>
            <w:tcW w:type="dxa" w:w="45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Аренда места размещения, 3 мес. × 7 000 ₽ (6 % суммы, лимит 15 %)</w:t>
            </w:r>
          </w:p>
        </w:tc>
        <w:tc>
          <w:tcPr>
            <w:tcW w:type="dxa" w:w="147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21 000 ₽</w:t>
            </w:r>
          </w:p>
        </w:tc>
        <w:tc>
          <w:tcPr>
            <w:tcW w:type="dxa" w:w="294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место для работы терминала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8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Реклама: баннер, штендер, наклейки-инструкции, карточки на картах (≤ 5 %)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10 000 ₽</w:t>
            </w:r>
          </w:p>
        </w:tc>
        <w:tc>
          <w:tcPr>
            <w:tcW w:type="dxa" w:w="294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привлечение клиентов на старте</w:t>
            </w:r>
          </w:p>
        </w:tc>
      </w:tr>
      <w:tr>
        <w:trPr>
          <w:cantSplit w:val="true"/>
        </w:trPr>
        <w:tc>
          <w:tcPr>
            <w:tcW w:type="dxa" w:w="454"/>
            <w:shd w:val="clear" w:color="auto" w:fill="DCE4F0"/>
          </w:tcPr>
          <w:p>
            <w:pPr>
              <w:spacing w:after="0" w:line="240" w:lineRule="auto"/>
            </w:pPr>
          </w:p>
        </w:tc>
        <w:tc>
          <w:tcPr>
            <w:tcW w:type="dxa" w:w="4762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20"/>
              </w:rPr>
              <w:t>ИТОГО</w:t>
            </w:r>
          </w:p>
        </w:tc>
        <w:tc>
          <w:tcPr>
            <w:tcW w:type="dxa" w:w="1474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20"/>
              </w:rPr>
              <w:t>350 000 ₽</w:t>
            </w:r>
          </w:p>
        </w:tc>
        <w:tc>
          <w:tcPr>
            <w:tcW w:type="dxa" w:w="2948"/>
            <w:shd w:val="clear" w:color="auto" w:fill="DCE4F0"/>
          </w:tcPr>
          <w:p>
            <w:pPr>
              <w:spacing w:after="0" w:line="240" w:lineRule="auto"/>
            </w:pPr>
          </w:p>
        </w:tc>
      </w:tr>
    </w:tbl>
    <w:p>
      <w:pPr>
        <w:spacing w:after="0" w:line="200" w:lineRule="exact"/>
      </w:pP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Аренда — 6 % суммы контракта (допустимо до 15 %). Покупки производятся только безналичным расчётом у поставщиков, не являющихся родственниками заявителя. Средства не направляются на погашение долгов и личные нужды. Все документы о покупках сохраняются для отчёта.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13. Финансовый план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13.1. Исходные данные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 w:val="true"/>
          <w:tblHeader w:val="true"/>
        </w:trPr>
        <w:tc>
          <w:tcPr>
            <w:tcW w:type="dxa" w:w="340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Показатель</w:t>
            </w:r>
          </w:p>
        </w:tc>
        <w:tc>
          <w:tcPr>
            <w:tcW w:type="dxa" w:w="6236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Значение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Цена услуги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400 ₽ — первые 3 мес.; 450 ₽ — обычный сезон; 500 ₽ — пиковый сезон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Плановая загрузка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12 услуг в сутки × сезонный коэффициент (раздел 6)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Выход на плановую загрузку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1-й мес. — 50 %, 2-й — 70 %, 3-й — 85 %, далее 100 %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Жидкость на 1 цикл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40 ₽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Электроэнергия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1 350 ₽ в месяц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Резерв на обслуживание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1 000 ₽ в месяц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Аренда места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7 000 ₽ в месяц (первые 3 мес. оплачены из средств контракта)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Налоги</w:t>
            </w:r>
          </w:p>
        </w:tc>
        <w:tc>
          <w:tcPr>
            <w:tcW w:type="dxa" w:w="6236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НПД 4 % от выручки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Месяц запуска (для расчёта сезонности)</w:t>
            </w:r>
          </w:p>
        </w:tc>
        <w:tc>
          <w:tcPr>
            <w:tcW w:type="dxa" w:w="6236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март</w:t>
            </w:r>
          </w:p>
        </w:tc>
      </w:tr>
    </w:tbl>
    <w:p>
      <w:pPr>
        <w:spacing w:after="0" w:line="200" w:lineRule="exact"/>
      </w:pPr>
    </w:p>
    <w:p>
      <w:pPr>
        <w:keepNext/>
        <w:widowControl/>
        <w:spacing w:after="120"/>
        <w:jc w:val="both"/>
      </w:pPr>
      <w:r>
        <w:rPr>
          <w:b/>
          <w:i w:val="0"/>
        </w:rPr>
        <w:t>13.2. Прогноз доходов и расходов на 12 месяцев (базовый сценарий)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 w:val="true"/>
          <w:tblHeader w:val="true"/>
        </w:trPr>
        <w:tc>
          <w:tcPr>
            <w:tcW w:type="dxa" w:w="51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Мес.</w:t>
            </w:r>
          </w:p>
        </w:tc>
        <w:tc>
          <w:tcPr>
            <w:tcW w:type="dxa" w:w="62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Месяц</w:t>
            </w:r>
          </w:p>
        </w:tc>
        <w:tc>
          <w:tcPr>
            <w:tcW w:type="dxa" w:w="62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Услуг</w:t>
            </w:r>
          </w:p>
        </w:tc>
        <w:tc>
          <w:tcPr>
            <w:tcW w:type="dxa" w:w="56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Цена</w:t>
            </w:r>
          </w:p>
        </w:tc>
        <w:tc>
          <w:tcPr>
            <w:tcW w:type="dxa" w:w="102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Выручка</w:t>
            </w:r>
          </w:p>
        </w:tc>
        <w:tc>
          <w:tcPr>
            <w:tcW w:type="dxa" w:w="90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Жидкость</w:t>
            </w:r>
          </w:p>
        </w:tc>
        <w:tc>
          <w:tcPr>
            <w:tcW w:type="dxa" w:w="7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Аренда</w:t>
            </w:r>
          </w:p>
        </w:tc>
        <w:tc>
          <w:tcPr>
            <w:tcW w:type="dxa" w:w="85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Налоги</w:t>
            </w:r>
          </w:p>
        </w:tc>
        <w:tc>
          <w:tcPr>
            <w:tcW w:type="dxa" w:w="79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Прочие*</w:t>
            </w:r>
          </w:p>
        </w:tc>
        <w:tc>
          <w:tcPr>
            <w:tcW w:type="dxa" w:w="1020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Прибыль</w:t>
            </w:r>
          </w:p>
        </w:tc>
        <w:tc>
          <w:tcPr>
            <w:tcW w:type="dxa" w:w="107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15"/>
              </w:rPr>
              <w:t>Накопл.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мар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207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82 800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8 280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3 312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68 858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68 858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2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апр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315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126 000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12 600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5 040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106 010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174 868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3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май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337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134 800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13 480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5 392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113 578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288 446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4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июн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360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162 000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14 400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6 480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131 770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420 216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5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июл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324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145 800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12 960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5 832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117 658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537 874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6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авг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324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145 800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12 960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5 832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117 658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655 532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7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сен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360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162 000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14 400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6 480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131 770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787 302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8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окт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414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500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207 000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16 560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8 280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172 810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960 112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9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ноя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432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500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216 000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17 280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8 640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180 730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1 140 842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10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дек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396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178 200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15 840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7 128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145 882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1 286 724 ₽</w:t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11</w:t>
            </w:r>
          </w:p>
        </w:tc>
        <w:tc>
          <w:tcPr>
            <w:tcW w:type="dxa" w:w="624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янв</w:t>
            </w:r>
          </w:p>
        </w:tc>
        <w:tc>
          <w:tcPr>
            <w:tcW w:type="dxa" w:w="62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288</w:t>
            </w:r>
          </w:p>
        </w:tc>
        <w:tc>
          <w:tcPr>
            <w:tcW w:type="dxa" w:w="56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129 600 ₽</w:t>
            </w:r>
          </w:p>
        </w:tc>
        <w:tc>
          <w:tcPr>
            <w:tcW w:type="dxa" w:w="90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11 520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5 184 ₽</w:t>
            </w:r>
          </w:p>
        </w:tc>
        <w:tc>
          <w:tcPr>
            <w:tcW w:type="dxa" w:w="79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103 546 ₽</w:t>
            </w:r>
          </w:p>
        </w:tc>
        <w:tc>
          <w:tcPr>
            <w:tcW w:type="dxa" w:w="1077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1 390 270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12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15"/>
              </w:rPr>
              <w:t>фев</w:t>
            </w:r>
          </w:p>
        </w:tc>
        <w:tc>
          <w:tcPr>
            <w:tcW w:type="dxa" w:w="62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306</w:t>
            </w:r>
          </w:p>
        </w:tc>
        <w:tc>
          <w:tcPr>
            <w:tcW w:type="dxa" w:w="56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450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137 700 ₽</w:t>
            </w:r>
          </w:p>
        </w:tc>
        <w:tc>
          <w:tcPr>
            <w:tcW w:type="dxa" w:w="90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12 240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7 000 ₽</w:t>
            </w:r>
          </w:p>
        </w:tc>
        <w:tc>
          <w:tcPr>
            <w:tcW w:type="dxa" w:w="85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5 508 ₽</w:t>
            </w:r>
          </w:p>
        </w:tc>
        <w:tc>
          <w:tcPr>
            <w:tcW w:type="dxa" w:w="79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2 350 ₽</w:t>
            </w:r>
          </w:p>
        </w:tc>
        <w:tc>
          <w:tcPr>
            <w:tcW w:type="dxa" w:w="1020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110 602 ₽</w:t>
            </w:r>
          </w:p>
        </w:tc>
        <w:tc>
          <w:tcPr>
            <w:tcW w:type="dxa" w:w="1077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15"/>
              </w:rPr>
              <w:t>1 500 872 ₽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DCE4F0"/>
          </w:tcPr>
          <w:p>
            <w:pPr>
              <w:spacing w:after="0" w:line="240" w:lineRule="auto"/>
            </w:pPr>
            <w:r>
              <w:rPr>
                <w:b/>
                <w:i w:val="0"/>
                <w:sz w:val="15"/>
              </w:rPr>
              <w:t>Итого</w:t>
            </w:r>
          </w:p>
        </w:tc>
        <w:tc>
          <w:tcPr>
            <w:tcW w:type="dxa" w:w="624"/>
            <w:shd w:val="clear" w:color="auto" w:fill="DCE4F0"/>
          </w:tcPr>
          <w:p>
            <w:pPr>
              <w:spacing w:after="0" w:line="240" w:lineRule="auto"/>
            </w:pPr>
          </w:p>
        </w:tc>
        <w:tc>
          <w:tcPr>
            <w:tcW w:type="dxa" w:w="62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4063</w:t>
            </w:r>
          </w:p>
        </w:tc>
        <w:tc>
          <w:tcPr>
            <w:tcW w:type="dxa" w:w="567"/>
            <w:shd w:val="clear" w:color="auto" w:fill="DCE4F0"/>
          </w:tcPr>
          <w:p>
            <w:pPr>
              <w:spacing w:after="0" w:line="240" w:lineRule="auto"/>
              <w:jc w:val="right"/>
            </w:pPr>
          </w:p>
        </w:tc>
        <w:tc>
          <w:tcPr>
            <w:tcW w:type="dxa" w:w="102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1 827 700 ₽</w:t>
            </w:r>
          </w:p>
        </w:tc>
        <w:tc>
          <w:tcPr>
            <w:tcW w:type="dxa" w:w="907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162 520 ₽</w:t>
            </w:r>
          </w:p>
        </w:tc>
        <w:tc>
          <w:tcPr>
            <w:tcW w:type="dxa" w:w="79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63 000 ₽</w:t>
            </w:r>
          </w:p>
        </w:tc>
        <w:tc>
          <w:tcPr>
            <w:tcW w:type="dxa" w:w="85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73 108 ₽</w:t>
            </w:r>
          </w:p>
        </w:tc>
        <w:tc>
          <w:tcPr>
            <w:tcW w:type="dxa" w:w="794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28 200 ₽</w:t>
            </w:r>
          </w:p>
        </w:tc>
        <w:tc>
          <w:tcPr>
            <w:tcW w:type="dxa" w:w="1020"/>
            <w:shd w:val="clear" w:color="auto" w:fill="DCE4F0"/>
          </w:tcPr>
          <w:p>
            <w:pPr>
              <w:spacing w:after="0" w:line="240" w:lineRule="auto"/>
              <w:jc w:val="right"/>
            </w:pPr>
            <w:r>
              <w:rPr>
                <w:b/>
                <w:i w:val="0"/>
                <w:sz w:val="15"/>
              </w:rPr>
              <w:t>1 500 872 ₽</w:t>
            </w:r>
          </w:p>
        </w:tc>
        <w:tc>
          <w:tcPr>
            <w:tcW w:type="dxa" w:w="1077"/>
            <w:shd w:val="clear" w:color="auto" w:fill="DCE4F0"/>
          </w:tcPr>
          <w:p>
            <w:pPr>
              <w:spacing w:after="0" w:line="240" w:lineRule="auto"/>
              <w:jc w:val="right"/>
            </w:pPr>
          </w:p>
        </w:tc>
      </w:tr>
    </w:tbl>
    <w:p>
      <w:pPr>
        <w:spacing w:after="0" w:line="200" w:lineRule="exact"/>
      </w:pPr>
    </w:p>
    <w:p>
      <w:pPr>
        <w:widowControl/>
        <w:spacing w:after="120"/>
        <w:jc w:val="both"/>
      </w:pPr>
      <w:r>
        <w:rPr>
          <w:b w:val="0"/>
          <w:i w:val="0"/>
          <w:sz w:val="18"/>
        </w:rPr>
        <w:t>* электроэнергия, обслуживание.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7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nance_435255398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2. Выручка, чистая прибыль и накопленная прибыль по месяцам (базовый сценарий)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13.3. Точка безубыточности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Постоянные расходы в месяц: аренда 7 000 ₽, электроэнергия 1 350 ₽, обслуживание 1 000 ₽ — итого 9 350 ₽. Доход с одной услуги за вычетом жидкости и налога — 392 ₽. Точка безубыточности: 9 350 ₽ ÷ 392 ₽ = 24 услуг в месяц, или 0,8 услуги в сутки. Всё, что выше, — прибыль заявителя.</w:t>
      </w:r>
    </w:p>
    <w:p>
      <w:pPr>
        <w:keepNext/>
        <w:widowControl/>
        <w:spacing w:after="120"/>
        <w:jc w:val="both"/>
      </w:pPr>
      <w:r>
        <w:rPr>
          <w:b/>
          <w:i w:val="0"/>
        </w:rPr>
        <w:t>13.4. Сценарии (среднемесячно после выхода на плановую загрузку)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cantSplit w:val="true"/>
          <w:tblHeader w:val="true"/>
        </w:trPr>
        <w:tc>
          <w:tcPr>
            <w:tcW w:type="dxa" w:w="204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Сценарий</w:t>
            </w:r>
          </w:p>
        </w:tc>
        <w:tc>
          <w:tcPr>
            <w:tcW w:type="dxa" w:w="147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Услуг в сутки</w:t>
            </w:r>
          </w:p>
        </w:tc>
        <w:tc>
          <w:tcPr>
            <w:tcW w:type="dxa" w:w="192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Выручка / мес</w:t>
            </w:r>
          </w:p>
        </w:tc>
        <w:tc>
          <w:tcPr>
            <w:tcW w:type="dxa" w:w="2154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Чистый доход / мес</w:t>
            </w:r>
          </w:p>
        </w:tc>
        <w:tc>
          <w:tcPr>
            <w:tcW w:type="dxa" w:w="204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Окупаемость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Пессимистичный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1928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101 725 ₽</w:t>
            </w:r>
          </w:p>
        </w:tc>
        <w:tc>
          <w:tcPr>
            <w:tcW w:type="dxa" w:w="215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81 383 ₽</w:t>
            </w:r>
          </w:p>
        </w:tc>
        <w:tc>
          <w:tcPr>
            <w:tcW w:type="dxa" w:w="2041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4,3 мес.</w:t>
            </w:r>
          </w:p>
        </w:tc>
      </w:tr>
      <w:tr>
        <w:trPr>
          <w:cantSplit w:val="true"/>
        </w:trPr>
        <w:tc>
          <w:tcPr>
            <w:tcW w:type="dxa" w:w="204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Базовый</w:t>
            </w:r>
          </w:p>
        </w:tc>
        <w:tc>
          <w:tcPr>
            <w:tcW w:type="dxa" w:w="147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12</w:t>
            </w:r>
          </w:p>
        </w:tc>
        <w:tc>
          <w:tcPr>
            <w:tcW w:type="dxa" w:w="1928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174 525 ₽</w:t>
            </w:r>
          </w:p>
        </w:tc>
        <w:tc>
          <w:tcPr>
            <w:tcW w:type="dxa" w:w="2154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145 064 ₽</w:t>
            </w:r>
          </w:p>
        </w:tc>
        <w:tc>
          <w:tcPr>
            <w:tcW w:type="dxa" w:w="2041"/>
            <w:shd w:val="clear" w:color="auto" w:fill="F2F5FA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2,4 мес.</w:t>
            </w:r>
          </w:p>
        </w:tc>
      </w:tr>
      <w:tr>
        <w:trPr>
          <w:cantSplit w:val="true"/>
        </w:trPr>
        <w:tc>
          <w:tcPr>
            <w:tcW w:type="dxa" w:w="204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Оптимистичный</w:t>
            </w:r>
          </w:p>
        </w:tc>
        <w:tc>
          <w:tcPr>
            <w:tcW w:type="dxa" w:w="147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25</w:t>
            </w:r>
          </w:p>
        </w:tc>
        <w:tc>
          <w:tcPr>
            <w:tcW w:type="dxa" w:w="1928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363 592 ₽</w:t>
            </w:r>
          </w:p>
        </w:tc>
        <w:tc>
          <w:tcPr>
            <w:tcW w:type="dxa" w:w="215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310 448 ₽</w:t>
            </w:r>
          </w:p>
        </w:tc>
        <w:tc>
          <w:tcPr>
            <w:tcW w:type="dxa" w:w="2041"/>
          </w:tcPr>
          <w:p>
            <w:pPr>
              <w:spacing w:after="0" w:line="240" w:lineRule="auto"/>
              <w:jc w:val="right"/>
            </w:pPr>
            <w:r>
              <w:rPr>
                <w:b w:val="0"/>
                <w:i w:val="0"/>
                <w:sz w:val="20"/>
              </w:rPr>
              <w:t>1,1 мес.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180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en_435255398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3. Чистый доход в месяц по сценариям загрузки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00" w:type="dxa"/>
          <w:bottom w:w="100" w:type="dxa"/>
          <w:left w:w="1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 w:val="true"/>
        </w:trPr>
        <w:tc>
          <w:tcPr>
            <w:tcW w:type="dxa" w:w="9639"/>
            <w:tcBorders>
              <w:left w:val="single" w:sz="24" w:color="1F3864"/>
            </w:tcBorders>
            <w:shd w:val="clear" w:color="auto" w:fill="EEF2F8"/>
          </w:tcPr>
          <w:p>
            <w:pPr>
              <w:jc w:val="both"/>
            </w:pPr>
            <w:r>
              <w:rPr>
                <w:b/>
                <w:i w:val="0"/>
                <w:color w:val="1F3864"/>
              </w:rPr>
              <w:t xml:space="preserve">Вывод. </w:t>
            </w:r>
            <w:r>
              <w:rPr>
                <w:b w:val="0"/>
                <w:i w:val="0"/>
              </w:rPr>
              <w:t>Даже в пессимистичном сценарии чистый доход (81 383 ₽ в месяц) выше прожиточного минимума в регионе (</w:t>
            </w:r>
            <w:r>
              <w:rPr>
                <w:b/>
                <w:highlight w:val="yellow"/>
              </w:rPr>
              <w:t>____ ₽</w:t>
            </w:r>
            <w:r>
              <w:rPr>
                <w:b w:val="0"/>
                <w:i w:val="0"/>
              </w:rPr>
              <w:t>). В базовом сценарии среднемесячный доход за первый год — 125 073 ₽, вложения окупаются за 4 мес. После окупаемости 40 % прибыли откладывается на следующий терминал. Проект позволяет семье выйти из трудной жизненной ситуации и продолжить деятельность после окончания контракта.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14. Риски и меры по их снижению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 w:val="true"/>
          <w:tblHeader w:val="true"/>
        </w:trPr>
        <w:tc>
          <w:tcPr>
            <w:tcW w:type="dxa" w:w="255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Риск</w:t>
            </w:r>
          </w:p>
        </w:tc>
        <w:tc>
          <w:tcPr>
            <w:tcW w:type="dxa" w:w="141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Вероятность</w:t>
            </w:r>
          </w:p>
        </w:tc>
        <w:tc>
          <w:tcPr>
            <w:tcW w:type="dxa" w:w="5669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Меры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Низкий спрос в первые месяцы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стартовая цена 400 ₽, акции, карточки на картах, работа с таксопарками; в плане заложен разгон загрузки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Сезонный спад (морозы, отпуска)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высокая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учтён в плане; акции, корпоративные клиенты, гибкая цена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Недостаточный поток на площадке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терминал переносится на другую площадку за 1 день; резервная площадка определена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Поломка оборудования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низкая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гарантия 12 мес.; автоматическая самоочистка фогера после каждого цикла; резерв на обслуживание; поддержка производителя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Вандализм, кража выручки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низкая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зона видеонаблюдения, защитный козырёк, антивандальное крепление, частая инкассация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Конкурент рядом</w:t>
            </w:r>
          </w:p>
        </w:tc>
        <w:tc>
          <w:tcPr>
            <w:tcW w:type="dxa" w:w="141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договор с площадкой на 24 мес., 5 ароматов, программа лояльности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Рост цен на жидкость</w:t>
            </w:r>
          </w:p>
        </w:tc>
        <w:tc>
          <w:tcPr>
            <w:tcW w:type="dxa" w:w="141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средняя</w:t>
            </w:r>
          </w:p>
        </w:tc>
        <w:tc>
          <w:tcPr>
            <w:tcW w:type="dxa" w:w="5669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себестоимость 40 ₽ при цене 400–500 ₽ — запас маржи; закупка у производителя</w:t>
            </w:r>
          </w:p>
        </w:tc>
      </w:tr>
    </w:tbl>
    <w:p>
      <w:pPr>
        <w:spacing w:after="0" w:line="200" w:lineRule="exact"/>
      </w:pP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15. Социальная эффективность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постоянный доход семьи выше прожиточного минимума — выход из трудной жизненной ситуации;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легальная занятость заявителя, уплата налогов (НПД);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новая для района доступная услуга, работающая круглосуточно;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деятельность продолжается не менее 12 месяцев после окончания контракта;</w:t>
      </w:r>
    </w:p>
    <w:p>
      <w:pPr>
        <w:pStyle w:val="ListBullet"/>
        <w:spacing w:after="40"/>
        <w:jc w:val="both"/>
      </w:pPr>
      <w:r>
        <w:rPr>
          <w:b w:val="0"/>
          <w:i w:val="0"/>
        </w:rPr>
        <w:t>с ростом сети — новые рабочие места (помощник по обслуживанию терминалов).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16. Масштабирование: от одного терминала к своей сети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Сухой туман — легко масштабируемый бизнес. Каждый следующий терминал повторяет уже отработанную модель: та же услуга, тот же поставщик, те же жидкости и тот же порядок обслуживания. Новая точка не требует персонала, офиса или склада — нужны только площадка с потоком машин и розетка 220 В. Поэтому оборот растёт пропорционально числу терминалов, а время на обслуживание — почти нет: объезд нескольких точек занимает 1–2 часа в день.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</w:rPr>
        <w:t>План накоплений. Цель — окупить проект как можно быстрее, а затем направлять 40 % ежемесячной прибыли на отдельный накопительный счёт для покупки следующего терминала (≈ 285 000 ₽ с брендированием, монтажом и запасом жидкости). Остальные 60 % — доход семьи. В базовом сценарии сумма на второй терминал накапливается к 9-му месяцу работы.</w:t>
      </w:r>
    </w:p>
    <w:tbl>
      <w:tblPr>
        <w:tblW w:type="auto" w:w="0"/>
        <w:jc w:val="center"/>
        <w:tblBorders>
          <w:top w:val="single" w:sz="4" w:color="B4C0D3"/>
          <w:left w:val="single" w:sz="4" w:color="B4C0D3"/>
          <w:bottom w:val="single" w:sz="4" w:color="B4C0D3"/>
          <w:right w:val="single" w:sz="4" w:color="B4C0D3"/>
          <w:insideH w:val="single" w:sz="4" w:color="B4C0D3"/>
          <w:insideV w:val="single" w:sz="4" w:color="B4C0D3"/>
        </w:tblBorders>
        <w:tblCellMar>
          <w:top w:w="40" w:type="dxa"/>
          <w:bottom w:w="4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rPr>
          <w:cantSplit w:val="true"/>
          <w:tblHeader w:val="true"/>
        </w:trPr>
        <w:tc>
          <w:tcPr>
            <w:tcW w:type="dxa" w:w="1247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Этап</w:t>
            </w:r>
          </w:p>
        </w:tc>
        <w:tc>
          <w:tcPr>
            <w:tcW w:type="dxa" w:w="1361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Терминалов</w:t>
            </w:r>
          </w:p>
        </w:tc>
        <w:tc>
          <w:tcPr>
            <w:tcW w:type="dxa" w:w="2268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Оборот в год (оценка)</w:t>
            </w:r>
          </w:p>
        </w:tc>
        <w:tc>
          <w:tcPr>
            <w:tcW w:type="dxa" w:w="4762"/>
            <w:shd w:val="clear" w:color="auto" w:fill="1F3864"/>
          </w:tcPr>
          <w:p>
            <w:pPr>
              <w:spacing w:after="0"/>
              <w:jc w:val="center"/>
            </w:pPr>
            <w:r>
              <w:rPr>
                <w:b/>
                <w:i w:val="0"/>
                <w:color w:val="FFFFFF"/>
                <w:sz w:val="20"/>
              </w:rPr>
              <w:t>Что делаем</w:t>
            </w:r>
          </w:p>
        </w:tc>
      </w:tr>
      <w:tr>
        <w:trPr>
          <w:cantSplit w:val="true"/>
        </w:trPr>
        <w:tc>
          <w:tcPr>
            <w:tcW w:type="dxa" w:w="124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1-й год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1 → 2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2 141 845 ₽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окупаем проект, откладываем 40 % прибыли, запускаем 2-й терминал на 9-м мес.</w:t>
            </w:r>
          </w:p>
        </w:tc>
      </w:tr>
      <w:tr>
        <w:trPr>
          <w:cantSplit w:val="true"/>
        </w:trPr>
        <w:tc>
          <w:tcPr>
            <w:tcW w:type="dxa" w:w="124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2-й год</w:t>
            </w:r>
          </w:p>
        </w:tc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5 445 180 ₽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третья точка за счёт прибыли двух терминалов; подключение безналичной оплаты на всех точках</w:t>
            </w:r>
          </w:p>
        </w:tc>
      </w:tr>
      <w:tr>
        <w:trPr>
          <w:cantSplit w:val="true"/>
        </w:trPr>
        <w:tc>
          <w:tcPr>
            <w:tcW w:type="dxa" w:w="1247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3-й год</w:t>
            </w:r>
          </w:p>
        </w:tc>
        <w:tc>
          <w:tcPr>
            <w:tcW w:type="dxa" w:w="1361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2268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9 214 920 ₽</w:t>
            </w:r>
          </w:p>
        </w:tc>
        <w:tc>
          <w:tcPr>
            <w:tcW w:type="dxa" w:w="4762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своя сеть под единым брендом; договоры с сетями АЗС и моек; оптовая закупка жидкости</w:t>
            </w:r>
          </w:p>
        </w:tc>
      </w:tr>
      <w:tr>
        <w:trPr>
          <w:cantSplit w:val="true"/>
        </w:trPr>
        <w:tc>
          <w:tcPr>
            <w:tcW w:type="dxa" w:w="1247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Далее</w:t>
            </w:r>
          </w:p>
        </w:tc>
        <w:tc>
          <w:tcPr>
            <w:tcW w:type="dxa" w:w="1361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5+</w:t>
            </w:r>
          </w:p>
        </w:tc>
        <w:tc>
          <w:tcPr>
            <w:tcW w:type="dxa" w:w="2268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от 10 471 500 ₽</w:t>
            </w:r>
          </w:p>
        </w:tc>
        <w:tc>
          <w:tcPr>
            <w:tcW w:type="dxa" w:w="4762"/>
            <w:shd w:val="clear" w:color="auto" w:fill="F2F5FA"/>
          </w:tcPr>
          <w:p>
            <w:pPr>
              <w:spacing w:after="0" w:line="240" w:lineRule="auto"/>
            </w:pPr>
            <w:r>
              <w:rPr>
                <w:b w:val="0"/>
                <w:i w:val="0"/>
                <w:sz w:val="20"/>
              </w:rPr>
              <w:t>наём помощника по обслуживанию, выход в соседние районы и города</w:t>
            </w:r>
          </w:p>
        </w:tc>
      </w:tr>
    </w:tbl>
    <w:p>
      <w:pPr>
        <w:spacing w:after="0" w:line="200" w:lineRule="exact"/>
      </w:pP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40000" cy="21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owt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b w:val="0"/>
          <w:i/>
          <w:color w:val="595959"/>
          <w:sz w:val="20"/>
        </w:rPr>
        <w:t>Рисунок 4. Рост оборота при развитии сети терминалов</w:t>
      </w:r>
    </w:p>
    <w:p>
      <w:pPr>
        <w:widowControl/>
        <w:spacing w:after="120"/>
        <w:ind w:firstLine="709"/>
        <w:jc w:val="both"/>
      </w:pPr>
      <w:r>
        <w:rPr>
          <w:b w:val="0"/>
          <w:i w:val="0"/>
          <w:sz w:val="21"/>
        </w:rPr>
        <w:t>Оценка оборота — по базовому сценарию (12 услуг в сутки) с понижающим коэффициентом на разгон новых точек. Развитие сети идёт только из собственной прибыли, без кредитов. При выручке свыше 2,4 млн ₽ в год заявитель переходит из самозанятых в ИП. Опыт первой точки снижает риски каждой следующей: уже известны спрос, сезонность, расход жидкости и лучшие типы площадок.</w:t>
      </w:r>
    </w:p>
    <w:p>
      <w:pPr>
        <w:pStyle w:val="Heading1"/>
        <w:keepNext/>
        <w:pBdr>
          <w:bottom w:val="single" w:sz="8" w:space="3" w:color="1F3864"/>
        </w:pBdr>
        <w:spacing w:before="360" w:after="160"/>
      </w:pPr>
      <w:r>
        <w:rPr>
          <w:b w:val="0"/>
          <w:i w:val="0"/>
          <w:color w:val="1F3864"/>
        </w:rPr>
        <w:t>Приложения</w:t>
      </w:r>
    </w:p>
    <w:p>
      <w:pPr>
        <w:widowControl/>
        <w:spacing w:after="40"/>
        <w:jc w:val="left"/>
      </w:pPr>
      <w:r>
        <w:rPr>
          <w:b w:val="0"/>
          <w:i w:val="0"/>
        </w:rPr>
        <w:t>1. Коммерческое предложение ООО «АКВА ГРУПП».</w:t>
      </w:r>
    </w:p>
    <w:p>
      <w:pPr>
        <w:widowControl/>
        <w:spacing w:after="40"/>
        <w:jc w:val="left"/>
      </w:pPr>
      <w:r>
        <w:rPr>
          <w:b w:val="0"/>
          <w:i w:val="0"/>
        </w:rPr>
        <w:t>2. Гарантийное письмо владельца площадки о предоставлении места.</w:t>
      </w:r>
    </w:p>
    <w:p>
      <w:pPr>
        <w:widowControl/>
        <w:spacing w:after="40"/>
        <w:jc w:val="left"/>
      </w:pPr>
      <w:r>
        <w:rPr>
          <w:b w:val="0"/>
          <w:i w:val="0"/>
        </w:rPr>
        <w:t xml:space="preserve">3. Фото площадки и предполагаемого места установки терминала </w:t>
      </w:r>
      <w:r>
        <w:rPr>
          <w:b/>
          <w:highlight w:val="yellow"/>
        </w:rPr>
        <w:t>приложить</w:t>
      </w:r>
      <w:r>
        <w:rPr>
          <w:b w:val="0"/>
          <w:i w:val="0"/>
        </w:rPr>
        <w:t>.</w:t>
      </w:r>
    </w:p>
    <w:p>
      <w:pPr>
        <w:widowControl/>
        <w:spacing w:after="40"/>
        <w:jc w:val="left"/>
      </w:pPr>
      <w:r>
        <w:rPr>
          <w:b w:val="0"/>
          <w:i w:val="0"/>
        </w:rPr>
        <w:t>4. Справка о постановке на учёт в качестве плательщика НПД.</w:t>
      </w:r>
    </w:p>
    <w:p>
      <w:pPr>
        <w:widowControl/>
        <w:spacing w:after="320"/>
        <w:ind w:firstLine="709"/>
        <w:jc w:val="both"/>
      </w:pPr>
    </w:p>
    <w:p>
      <w:pPr>
        <w:widowControl/>
        <w:spacing w:after="120"/>
        <w:jc w:val="left"/>
      </w:pPr>
      <w:r>
        <w:rPr>
          <w:b w:val="0"/>
          <w:i w:val="0"/>
        </w:rPr>
        <w:t>Достоверность сведений подтверждаю.</w:t>
      </w:r>
    </w:p>
    <w:p>
      <w:pPr>
        <w:widowControl/>
        <w:spacing w:after="120"/>
        <w:jc w:val="left"/>
      </w:pPr>
      <w:r>
        <w:rPr>
          <w:b w:val="0"/>
          <w:i w:val="0"/>
        </w:rPr>
        <w:t xml:space="preserve">Заявитель: ____________________ / </w:t>
      </w:r>
      <w:r>
        <w:rPr>
          <w:b/>
          <w:highlight w:val="yellow"/>
        </w:rPr>
        <w:t>Иванов И. И.</w:t>
      </w:r>
      <w:r>
        <w:rPr>
          <w:b w:val="0"/>
          <w:i w:val="0"/>
        </w:rPr>
        <w:t xml:space="preserve"> /          «</w:t>
      </w:r>
      <w:r>
        <w:rPr>
          <w:b/>
          <w:highlight w:val="yellow"/>
        </w:rPr>
        <w:t>__</w:t>
      </w:r>
      <w:r>
        <w:rPr>
          <w:b w:val="0"/>
          <w:i w:val="0"/>
        </w:rPr>
        <w:t xml:space="preserve">» </w:t>
      </w:r>
      <w:r>
        <w:rPr>
          <w:b/>
          <w:highlight w:val="yellow"/>
        </w:rPr>
        <w:t>________</w:t>
      </w:r>
      <w:r>
        <w:rPr>
          <w:b w:val="0"/>
          <w:i w:val="0"/>
        </w:rPr>
        <w:t xml:space="preserve"> 20</w:t>
      </w:r>
      <w:r>
        <w:rPr>
          <w:b/>
          <w:highlight w:val="yellow"/>
        </w:rPr>
        <w:t>__</w:t>
      </w:r>
      <w:r>
        <w:rPr>
          <w:b w:val="0"/>
          <w:i w:val="0"/>
        </w:rPr>
        <w:t xml:space="preserve"> г.</w:t>
      </w:r>
    </w:p>
    <w:sectPr w:rsidR="00FC693F" w:rsidRPr="0006063C" w:rsidSect="00034616">
      <w:footerReference w:type="default" r:id="rId9"/>
      <w:footerReference w:type="first" r:id="rId14"/>
      <w:pgSz w:w="11906" w:h="16838"/>
      <w:pgMar w:top="1134" w:right="850" w:bottom="1134" w:left="141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 xml:space="preserve">Страница </w:t>
    </w:r>
    <w:r>
      <w:rPr>
        <w:rFonts w:ascii="Times New Roman" w:hAnsi="Times New Roman"/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Times New Roman" w:hAnsi="Times New Roman"/>
        <w:sz w:val="18"/>
      </w:rPr>
      <w:t xml:space="preserve"> из </w:t>
    </w:r>
    <w:r>
      <w:rPr>
        <w:rFonts w:ascii="Times New Roman" w:hAnsi="Times New Roman"/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/>
      <w:i w:val="0"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 w:cs="Times New Roman"/>
      <w:i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